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Compliance Audit 003.056 Chromium VI</w:t>
      </w:r>
    </w:p>
    <w:p>
      <w:pPr>
        <w:pStyle w:val="Author"/>
      </w:pPr>
      <w:r>
        <w:t xml:space="preserve">JvG Consultancy</w:t>
      </w:r>
    </w:p>
    <w:p>
      <w:pPr>
        <w:pStyle w:val="Date"/>
      </w:pPr>
      <w:r>
        <w:t xml:space="preserve">2026-08-24</w:t>
      </w:r>
    </w:p>
    <w:bookmarkStart w:id="41" w:name="Xa17cc7e15b622f36d5fc07054ad302296aaf9de"/>
    <w:p>
      <w:pPr>
        <w:pStyle w:val="Heading1"/>
      </w:pPr>
      <w:r>
        <w:t xml:space="preserve">Compliance Audit — 003.056 Chromium VI Exposure Control Procedure</w:t>
      </w:r>
    </w:p>
    <w:p>
      <w:pPr>
        <w:pStyle w:val="FirstParagraph"/>
      </w:pPr>
      <w:r>
        <w:rPr>
          <w:b/>
          <w:bCs/>
        </w:rPr>
        <w:t xml:space="preserve">Project</w:t>
      </w:r>
      <w:r>
        <w:t xml:space="preserve">: 2026-audit-koole-chromium-vi (Wintershall / Koole offshore decommissioning)</w:t>
      </w:r>
      <w:r>
        <w:t xml:space="preserve"> </w:t>
      </w:r>
      <w:r>
        <w:rPr>
          <w:b/>
          <w:bCs/>
        </w:rPr>
        <w:t xml:space="preserve">Brondocument</w:t>
      </w:r>
      <w:r>
        <w:t xml:space="preserve">: 003.056 Chromium VI Exposure Control Procedure (Rev A 02-03-2026 / Rev 1 15-04-2026), KOO B.V. (Koole Offshore Operations)</w:t>
      </w:r>
      <w:r>
        <w:t xml:space="preserve"> </w:t>
      </w:r>
      <w:r>
        <w:rPr>
          <w:b/>
          <w:bCs/>
        </w:rPr>
        <w:t xml:space="preserve">Audittype</w:t>
      </w:r>
      <w:r>
        <w:t xml:space="preserve">: Document-based compliance audit t.a.v. Nederlands wettelijk kader</w:t>
      </w:r>
      <w:r>
        <w:t xml:space="preserve"> </w:t>
      </w:r>
      <w:r>
        <w:rPr>
          <w:b/>
          <w:bCs/>
        </w:rPr>
        <w:t xml:space="preserve">Auditor</w:t>
      </w:r>
      <w:r>
        <w:t xml:space="preserve">: hseq_specialist (Tier 3)</w:t>
      </w:r>
      <w:r>
        <w:t xml:space="preserve"> </w:t>
      </w:r>
      <w:r>
        <w:rPr>
          <w:b/>
          <w:bCs/>
        </w:rPr>
        <w:t xml:space="preserve">Datum</w:t>
      </w:r>
      <w:r>
        <w:t xml:space="preserve">: 2026-08-24</w:t>
      </w:r>
      <w:r>
        <w:t xml:space="preserve"> </w:t>
      </w:r>
      <w:r>
        <w:rPr>
          <w:b/>
          <w:bCs/>
        </w:rPr>
        <w:t xml:space="preserve">Status</w:t>
      </w:r>
      <w:r>
        <w:t xml:space="preserve">: Definitief (intermediate MD — basis voor herzieningsvoorstel aan redacteur)</w:t>
      </w:r>
    </w:p>
    <w:p>
      <w:r>
        <w:pict>
          <v:rect style="width:0;height:1.5pt" o:hralign="center" o:hrstd="t" o:hr="t"/>
        </w:pict>
      </w:r>
    </w:p>
    <w:bookmarkStart w:id="20" w:name="beperkingen-en-auditbasis"/>
    <w:p>
      <w:pPr>
        <w:pStyle w:val="Heading2"/>
      </w:pPr>
      <w:r>
        <w:t xml:space="preserve">0. Beperkingen en auditbasis</w:t>
      </w:r>
    </w:p>
    <w:p>
      <w:pPr>
        <w:pStyle w:val="Compact"/>
        <w:numPr>
          <w:ilvl w:val="0"/>
          <w:numId w:val="1001"/>
        </w:numPr>
      </w:pPr>
      <w:r>
        <w:rPr>
          <w:b/>
          <w:bCs/>
        </w:rPr>
        <w:t xml:space="preserve">Auditbasis</w:t>
      </w:r>
      <w:r>
        <w:t xml:space="preserve">: De volledige tekst van het brondocument (12 pagina’s: revision status, revision log, §1 Purpose and Scope t/m §6 References) is geëxtraheerd uit de PDF en integraal getoetst. Alle bevindingen verwijzen naar secties van het brondocument.</w:t>
      </w:r>
    </w:p>
    <w:p>
      <w:pPr>
        <w:pStyle w:val="Compact"/>
        <w:numPr>
          <w:ilvl w:val="0"/>
          <w:numId w:val="1001"/>
        </w:numPr>
      </w:pPr>
      <w:r>
        <w:rPr>
          <w:b/>
          <w:bCs/>
        </w:rPr>
        <w:t xml:space="preserve">Versie-inconsistentie (vastgesteld)</w:t>
      </w:r>
      <w:r>
        <w:t xml:space="preserve">: De coverpagina vermeldt zowel Rev A (02-03-2026,</w:t>
      </w:r>
      <w:r>
        <w:t xml:space="preserve"> </w:t>
      </w:r>
      <w:r>
        <w:t xml:space="preserve">“</w:t>
      </w:r>
      <w:r>
        <w:t xml:space="preserve">Issued for Comments</w:t>
      </w:r>
      <w:r>
        <w:t xml:space="preserve">”</w:t>
      </w:r>
      <w:r>
        <w:t xml:space="preserve">) als Rev 1 (15-04-2026,</w:t>
      </w:r>
      <w:r>
        <w:t xml:space="preserve"> </w:t>
      </w:r>
      <w:r>
        <w:t xml:space="preserve">“</w:t>
      </w:r>
      <w:r>
        <w:t xml:space="preserve">Issued for Implementation</w:t>
      </w:r>
      <w:r>
        <w:t xml:space="preserve">”</w:t>
      </w:r>
      <w:r>
        <w:t xml:space="preserve">). De revision log bevat uitsluitend een Rev 1-regel met</w:t>
      </w:r>
      <w:r>
        <w:t xml:space="preserve"> </w:t>
      </w:r>
      <w:r>
        <w:rPr>
          <w:b/>
          <w:bCs/>
        </w:rPr>
        <w:t xml:space="preserve">lege velden</w:t>
      </w:r>
      <w:r>
        <w:t xml:space="preserve"> </w:t>
      </w:r>
      <w:r>
        <w:t xml:space="preserve">voor Section en Description of Change. De voettekst op pagina 2 t/m 12 vermeldt</w:t>
      </w:r>
      <w:r>
        <w:t xml:space="preserve"> </w:t>
      </w:r>
      <w:r>
        <w:t xml:space="preserve">“</w:t>
      </w:r>
      <w:r>
        <w:t xml:space="preserve">Rev. 1 — May 2026</w:t>
      </w:r>
      <w:r>
        <w:t xml:space="preserve">”</w:t>
      </w:r>
      <w:r>
        <w:t xml:space="preserve">, terwijl de issue-datum per log 15-04-2026 is. Zie bevinding B14.</w:t>
      </w:r>
    </w:p>
    <w:p>
      <w:pPr>
        <w:pStyle w:val="Compact"/>
        <w:numPr>
          <w:ilvl w:val="0"/>
          <w:numId w:val="1001"/>
        </w:numPr>
      </w:pPr>
      <w:r>
        <w:rPr>
          <w:b/>
          <w:bCs/>
        </w:rPr>
        <w:t xml:space="preserve">Jurisdictie</w:t>
      </w:r>
      <w:r>
        <w:t xml:space="preserve">: Nederlands offshore decommissioningproject (Noordzee; opdrachtgever Wintershall, aannemer Koole). Het brondocument bevat daarnaast Belgische elementen (OEL 0,005 mg/m³, §6). Toetsing tegen het Nederlandse kader conform</w:t>
      </w:r>
      <w:r>
        <w:t xml:space="preserve"> </w:t>
      </w:r>
      <w:r>
        <w:rPr>
          <w:rStyle w:val="VerbatimChar"/>
        </w:rPr>
        <w:t xml:space="preserve">research/bronnen.md</w:t>
      </w:r>
      <w:r>
        <w:t xml:space="preserve">.</w:t>
      </w:r>
    </w:p>
    <w:p>
      <w:r>
        <w:pict>
          <v:rect style="width:0;height:1.5pt" o:hralign="center" o:hrstd="t" o:hr="t"/>
        </w:pict>
      </w:r>
    </w:p>
    <w:bookmarkEnd w:id="20"/>
    <w:bookmarkStart w:id="21" w:name="managementsamenvatting"/>
    <w:p>
      <w:pPr>
        <w:pStyle w:val="Heading2"/>
      </w:pPr>
      <w:r>
        <w:t xml:space="preserve">1. Managementsamenvatting</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Classificatie</w:t>
            </w:r>
          </w:p>
        </w:tc>
        <w:tc>
          <w:tcPr/>
          <w:p>
            <w:pPr>
              <w:pStyle w:val="Compact"/>
              <w:jc w:val="left"/>
            </w:pPr>
            <w:r>
              <w:t xml:space="preserve">Aantal</w:t>
            </w:r>
          </w:p>
        </w:tc>
      </w:tr>
      <w:tr>
        <w:tc>
          <w:tcPr/>
          <w:p>
            <w:pPr>
              <w:pStyle w:val="Compact"/>
              <w:jc w:val="left"/>
            </w:pPr>
            <w:r>
              <w:rPr>
                <w:b/>
                <w:bCs/>
              </w:rPr>
              <w:t xml:space="preserve">P1 — Wettelijk verplicht, ontbreekt (Kritiek)</w:t>
            </w:r>
          </w:p>
        </w:tc>
        <w:tc>
          <w:tcPr/>
          <w:p>
            <w:pPr>
              <w:pStyle w:val="Compact"/>
              <w:jc w:val="left"/>
            </w:pPr>
            <w:r>
              <w:t xml:space="preserve">5</w:t>
            </w:r>
          </w:p>
        </w:tc>
      </w:tr>
      <w:tr>
        <w:tc>
          <w:tcPr/>
          <w:p>
            <w:pPr>
              <w:pStyle w:val="Compact"/>
              <w:jc w:val="left"/>
            </w:pPr>
            <w:r>
              <w:rPr>
                <w:b/>
                <w:bCs/>
              </w:rPr>
              <w:t xml:space="preserve">P2 — Verplicht/verwacht, onvolledig (Verbetering)</w:t>
            </w:r>
          </w:p>
        </w:tc>
        <w:tc>
          <w:tcPr/>
          <w:p>
            <w:pPr>
              <w:pStyle w:val="Compact"/>
              <w:jc w:val="left"/>
            </w:pPr>
            <w:r>
              <w:t xml:space="preserve">7</w:t>
            </w:r>
          </w:p>
        </w:tc>
      </w:tr>
      <w:tr>
        <w:tc>
          <w:tcPr/>
          <w:p>
            <w:pPr>
              <w:pStyle w:val="Compact"/>
              <w:jc w:val="left"/>
            </w:pPr>
            <w:r>
              <w:rPr>
                <w:b/>
                <w:bCs/>
              </w:rPr>
              <w:t xml:space="preserve">Conform</w:t>
            </w:r>
          </w:p>
        </w:tc>
        <w:tc>
          <w:tcPr/>
          <w:p>
            <w:pPr>
              <w:pStyle w:val="Compact"/>
              <w:jc w:val="left"/>
            </w:pPr>
            <w:r>
              <w:t xml:space="preserve">6</w:t>
            </w:r>
          </w:p>
        </w:tc>
      </w:tr>
    </w:tbl>
    <w:p>
      <w:pPr>
        <w:pStyle w:val="BodyText"/>
      </w:pPr>
      <w:r>
        <w:rPr>
          <w:b/>
          <w:bCs/>
        </w:rPr>
        <w:t xml:space="preserve">Kernoordeel</w:t>
      </w:r>
      <w:r>
        <w:t xml:space="preserve">: Het brondocument is een degelijke, praktisch uitvoerbare operationele procedure op het gebied van gevareninformatie, marking, hiërarchie van beheersmaatregelen, hygiëne/decontaminatie en PBM-regime. De procedure noemt de Nederlandse grenswaarde (1 µg/m³) en het streefrisiconiveau (0,01 µg/m³) correct (§6). Echter, de</w:t>
      </w:r>
      <w:r>
        <w:t xml:space="preserve"> </w:t>
      </w:r>
      <w:r>
        <w:rPr>
          <w:b/>
          <w:bCs/>
        </w:rPr>
        <w:t xml:space="preserve">formele arbo-juridische verslagleggings- en zorgstructuur ontbreekt vrijwel volledig</w:t>
      </w:r>
      <w:r>
        <w:t xml:space="preserve">: geen meetstrategie conform NEN-EN 689, geen arbeidsgezondheidskundig onderzoek (AGO), geen 40-jaar bewaartermijn, geen lijst van blootgestelde werknemers en geen expliciete RI&amp;E-registratie met vervangingsonderbouwing. Dit zijn verplichtingen uit het Arbobesluit (Hoofdstuk 4, Afdeling 3) die niet via TRA/JSA-verwijzingen kunnen worden afgedekt. Voor kankerverwekkende stoffen geldt in Nederland verscherpte aandacht, mede gezien de chroom-6-dossiers bij Defensie, ProRail en gemeente Tilburg [AI-77 §7].</w:t>
      </w:r>
    </w:p>
    <w:p>
      <w:r>
        <w:pict>
          <v:rect style="width:0;height:1.5pt" o:hralign="center" o:hrstd="t" o:hr="t"/>
        </w:pict>
      </w:r>
    </w:p>
    <w:bookmarkEnd w:id="21"/>
    <w:bookmarkStart w:id="22" w:name="overzichtstoetsing-per-eis"/>
    <w:p>
      <w:pPr>
        <w:pStyle w:val="Heading2"/>
      </w:pPr>
      <w:r>
        <w:t xml:space="preserve">2. Overzichtstoetsing per eis</w:t>
      </w:r>
    </w:p>
    <w:tbl>
      <w:tblPr>
        <w:tblStyle w:val="Table"/>
        <w:tblW w:type="pct" w:w="5000"/>
        <w:jc w:val="left"/>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w:t>
            </w:r>
          </w:p>
        </w:tc>
        <w:tc>
          <w:tcPr/>
          <w:p>
            <w:pPr>
              <w:pStyle w:val="Compact"/>
              <w:jc w:val="left"/>
            </w:pPr>
            <w:r>
              <w:t xml:space="preserve">Eis</w:t>
            </w:r>
          </w:p>
        </w:tc>
        <w:tc>
          <w:tcPr/>
          <w:p>
            <w:pPr>
              <w:pStyle w:val="Compact"/>
              <w:jc w:val="left"/>
            </w:pPr>
            <w:r>
              <w:t xml:space="preserve">Bron</w:t>
            </w:r>
          </w:p>
        </w:tc>
        <w:tc>
          <w:tcPr/>
          <w:p>
            <w:pPr>
              <w:pStyle w:val="Compact"/>
              <w:jc w:val="left"/>
            </w:pPr>
            <w:r>
              <w:t xml:space="preserve">Bevinding brondocument</w:t>
            </w:r>
          </w:p>
        </w:tc>
        <w:tc>
          <w:tcPr/>
          <w:p>
            <w:pPr>
              <w:pStyle w:val="Compact"/>
              <w:jc w:val="left"/>
            </w:pPr>
            <w:r>
              <w:t xml:space="preserve">Klasse</w:t>
            </w:r>
          </w:p>
        </w:tc>
      </w:tr>
      <w:tr>
        <w:tc>
          <w:tcPr/>
          <w:p>
            <w:pPr>
              <w:pStyle w:val="Compact"/>
              <w:jc w:val="left"/>
            </w:pPr>
            <w:r>
              <w:t xml:space="preserve">B1</w:t>
            </w:r>
          </w:p>
        </w:tc>
        <w:tc>
          <w:tcPr/>
          <w:p>
            <w:pPr>
              <w:pStyle w:val="Compact"/>
              <w:jc w:val="left"/>
            </w:pPr>
            <w:r>
              <w:t xml:space="preserve">Meetstrategie NEN-EN 689/482 + toetsing 1 µg/m³</w:t>
            </w:r>
          </w:p>
        </w:tc>
        <w:tc>
          <w:tcPr/>
          <w:p>
            <w:pPr>
              <w:pStyle w:val="Compact"/>
              <w:jc w:val="left"/>
            </w:pPr>
            <w:r>
              <w:t xml:space="preserve">Arbobesluit art. 4.2 lid 4; NEN-EN 689; NEN-EN 482</w:t>
            </w:r>
          </w:p>
        </w:tc>
        <w:tc>
          <w:tcPr/>
          <w:p>
            <w:pPr>
              <w:pStyle w:val="Compact"/>
              <w:jc w:val="left"/>
            </w:pPr>
            <w:r>
              <w:t xml:space="preserve">Ontbreekt; alleen generieke vermelding</w:t>
            </w:r>
            <w:r>
              <w:t xml:space="preserve"> </w:t>
            </w:r>
            <w:r>
              <w:t xml:space="preserve">“</w:t>
            </w:r>
            <w:r>
              <w:t xml:space="preserve">exposure monitoring results</w:t>
            </w:r>
            <w:r>
              <w:t xml:space="preserve">”</w:t>
            </w:r>
            <w:r>
              <w:t xml:space="preserve"> </w:t>
            </w:r>
            <w:r>
              <w:t xml:space="preserve">(§5)</w:t>
            </w:r>
          </w:p>
        </w:tc>
        <w:tc>
          <w:tcPr/>
          <w:p>
            <w:pPr>
              <w:pStyle w:val="Compact"/>
              <w:jc w:val="left"/>
            </w:pPr>
            <w:r>
              <w:rPr>
                <w:b/>
                <w:bCs/>
              </w:rPr>
              <w:t xml:space="preserve">P1</w:t>
            </w:r>
          </w:p>
        </w:tc>
      </w:tr>
      <w:tr>
        <w:tc>
          <w:tcPr/>
          <w:p>
            <w:pPr>
              <w:pStyle w:val="Compact"/>
              <w:jc w:val="left"/>
            </w:pPr>
            <w:r>
              <w:t xml:space="preserve">B2</w:t>
            </w:r>
          </w:p>
        </w:tc>
        <w:tc>
          <w:tcPr/>
          <w:p>
            <w:pPr>
              <w:pStyle w:val="Compact"/>
              <w:jc w:val="left"/>
            </w:pPr>
            <w:r>
              <w:t xml:space="preserve">AGO vóór aanvang</w:t>
            </w:r>
          </w:p>
        </w:tc>
        <w:tc>
          <w:tcPr/>
          <w:p>
            <w:pPr>
              <w:pStyle w:val="Compact"/>
              <w:jc w:val="left"/>
            </w:pPr>
            <w:r>
              <w:t xml:space="preserve">Arbobesluit art. 4.10a</w:t>
            </w:r>
          </w:p>
        </w:tc>
        <w:tc>
          <w:tcPr/>
          <w:p>
            <w:pPr>
              <w:pStyle w:val="Compact"/>
              <w:jc w:val="left"/>
            </w:pPr>
            <w:r>
              <w:t xml:space="preserve">Volledig afwezig</w:t>
            </w:r>
          </w:p>
        </w:tc>
        <w:tc>
          <w:tcPr/>
          <w:p>
            <w:pPr>
              <w:pStyle w:val="Compact"/>
              <w:jc w:val="left"/>
            </w:pPr>
            <w:r>
              <w:rPr>
                <w:b/>
                <w:bCs/>
              </w:rPr>
              <w:t xml:space="preserve">P1</w:t>
            </w:r>
          </w:p>
        </w:tc>
      </w:tr>
      <w:tr>
        <w:tc>
          <w:tcPr/>
          <w:p>
            <w:pPr>
              <w:pStyle w:val="Compact"/>
              <w:jc w:val="left"/>
            </w:pPr>
            <w:r>
              <w:t xml:space="preserve">B3</w:t>
            </w:r>
          </w:p>
        </w:tc>
        <w:tc>
          <w:tcPr/>
          <w:p>
            <w:pPr>
              <w:pStyle w:val="Compact"/>
              <w:jc w:val="left"/>
            </w:pPr>
            <w:r>
              <w:t xml:space="preserve">40-jaar bewaring blootstellingsgegevens</w:t>
            </w:r>
          </w:p>
        </w:tc>
        <w:tc>
          <w:tcPr/>
          <w:p>
            <w:pPr>
              <w:pStyle w:val="Compact"/>
              <w:jc w:val="left"/>
            </w:pPr>
            <w:r>
              <w:t xml:space="preserve">Arbobesluit art. 4.10c</w:t>
            </w:r>
          </w:p>
        </w:tc>
        <w:tc>
          <w:tcPr/>
          <w:p>
            <w:pPr>
              <w:pStyle w:val="Compact"/>
              <w:jc w:val="left"/>
            </w:pPr>
            <w:r>
              <w:t xml:space="preserve">Volledig afwezig</w:t>
            </w:r>
          </w:p>
        </w:tc>
        <w:tc>
          <w:tcPr/>
          <w:p>
            <w:pPr>
              <w:pStyle w:val="Compact"/>
              <w:jc w:val="left"/>
            </w:pPr>
            <w:r>
              <w:rPr>
                <w:b/>
                <w:bCs/>
              </w:rPr>
              <w:t xml:space="preserve">P1</w:t>
            </w:r>
          </w:p>
        </w:tc>
      </w:tr>
      <w:tr>
        <w:tc>
          <w:tcPr/>
          <w:p>
            <w:pPr>
              <w:pStyle w:val="Compact"/>
              <w:jc w:val="left"/>
            </w:pPr>
            <w:r>
              <w:t xml:space="preserve">B4</w:t>
            </w:r>
          </w:p>
        </w:tc>
        <w:tc>
          <w:tcPr/>
          <w:p>
            <w:pPr>
              <w:pStyle w:val="Compact"/>
              <w:jc w:val="left"/>
            </w:pPr>
            <w:r>
              <w:t xml:space="preserve">RI&amp;E incl. tox-elementen + vervangingsonderbouwing</w:t>
            </w:r>
          </w:p>
        </w:tc>
        <w:tc>
          <w:tcPr/>
          <w:p>
            <w:pPr>
              <w:pStyle w:val="Compact"/>
              <w:jc w:val="left"/>
            </w:pPr>
            <w:r>
              <w:t xml:space="preserve">Arbobesluit art. 4.13 (i.c.m. art. 4.2 lid 1)</w:t>
            </w:r>
          </w:p>
        </w:tc>
        <w:tc>
          <w:tcPr/>
          <w:p>
            <w:pPr>
              <w:pStyle w:val="Compact"/>
              <w:jc w:val="left"/>
            </w:pPr>
            <w:r>
              <w:t xml:space="preserve">Alleen TRA/JSA/PTW-verwijzing (§4.4); geen RI&amp;E-registratie, geen vervangingsonderbouwing</w:t>
            </w:r>
          </w:p>
        </w:tc>
        <w:tc>
          <w:tcPr/>
          <w:p>
            <w:pPr>
              <w:pStyle w:val="Compact"/>
              <w:jc w:val="left"/>
            </w:pPr>
            <w:r>
              <w:rPr>
                <w:b/>
                <w:bCs/>
              </w:rPr>
              <w:t xml:space="preserve">P1</w:t>
            </w:r>
          </w:p>
        </w:tc>
      </w:tr>
      <w:tr>
        <w:tc>
          <w:tcPr/>
          <w:p>
            <w:pPr>
              <w:pStyle w:val="Compact"/>
              <w:jc w:val="left"/>
            </w:pPr>
            <w:r>
              <w:t xml:space="preserve">B5</w:t>
            </w:r>
          </w:p>
        </w:tc>
        <w:tc>
          <w:tcPr/>
          <w:p>
            <w:pPr>
              <w:pStyle w:val="Compact"/>
              <w:jc w:val="left"/>
            </w:pPr>
            <w:r>
              <w:t xml:space="preserve">Lijst blootgestelde werknemers + inzagerecht</w:t>
            </w:r>
          </w:p>
        </w:tc>
        <w:tc>
          <w:tcPr/>
          <w:p>
            <w:pPr>
              <w:pStyle w:val="Compact"/>
              <w:jc w:val="left"/>
            </w:pPr>
            <w:r>
              <w:t xml:space="preserve">Arbobesluit art. 4.15</w:t>
            </w:r>
          </w:p>
        </w:tc>
        <w:tc>
          <w:tcPr/>
          <w:p>
            <w:pPr>
              <w:pStyle w:val="Compact"/>
              <w:jc w:val="left"/>
            </w:pPr>
            <w:r>
              <w:t xml:space="preserve">Volledig afwezig</w:t>
            </w:r>
          </w:p>
        </w:tc>
        <w:tc>
          <w:tcPr/>
          <w:p>
            <w:pPr>
              <w:pStyle w:val="Compact"/>
              <w:jc w:val="left"/>
            </w:pPr>
            <w:r>
              <w:rPr>
                <w:b/>
                <w:bCs/>
              </w:rPr>
              <w:t xml:space="preserve">P1</w:t>
            </w:r>
          </w:p>
        </w:tc>
      </w:tr>
      <w:tr>
        <w:tc>
          <w:tcPr/>
          <w:p>
            <w:pPr>
              <w:pStyle w:val="Compact"/>
              <w:jc w:val="left"/>
            </w:pPr>
            <w:r>
              <w:t xml:space="preserve">B6</w:t>
            </w:r>
          </w:p>
        </w:tc>
        <w:tc>
          <w:tcPr/>
          <w:p>
            <w:pPr>
              <w:pStyle w:val="Compact"/>
              <w:jc w:val="left"/>
            </w:pPr>
            <w:r>
              <w:t xml:space="preserve">Abnormale blootstelling: melding + OR/PVT</w:t>
            </w:r>
          </w:p>
        </w:tc>
        <w:tc>
          <w:tcPr/>
          <w:p>
            <w:pPr>
              <w:pStyle w:val="Compact"/>
              <w:jc w:val="left"/>
            </w:pPr>
            <w:r>
              <w:t xml:space="preserve">Arbobesluit art. 4.21</w:t>
            </w:r>
          </w:p>
        </w:tc>
        <w:tc>
          <w:tcPr/>
          <w:p>
            <w:pPr>
              <w:pStyle w:val="Compact"/>
              <w:jc w:val="left"/>
            </w:pPr>
            <w:r>
              <w:t xml:space="preserve">Melden aan leiding aanwezig (§4.3.3, §4.5.2); OR/PVT-proces afwezig</w:t>
            </w:r>
          </w:p>
        </w:tc>
        <w:tc>
          <w:tcPr/>
          <w:p>
            <w:pPr>
              <w:pStyle w:val="Compact"/>
              <w:jc w:val="left"/>
            </w:pPr>
            <w:r>
              <w:rPr>
                <w:b/>
                <w:bCs/>
              </w:rPr>
              <w:t xml:space="preserve">P2</w:t>
            </w:r>
          </w:p>
        </w:tc>
      </w:tr>
      <w:tr>
        <w:tc>
          <w:tcPr/>
          <w:p>
            <w:pPr>
              <w:pStyle w:val="Compact"/>
              <w:jc w:val="left"/>
            </w:pPr>
            <w:r>
              <w:t xml:space="preserve">B7</w:t>
            </w:r>
          </w:p>
        </w:tc>
        <w:tc>
          <w:tcPr/>
          <w:p>
            <w:pPr>
              <w:pStyle w:val="Compact"/>
              <w:jc w:val="left"/>
            </w:pPr>
            <w:r>
              <w:t xml:space="preserve">Wettelijke grenswaarde 1 µg/m³</w:t>
            </w:r>
          </w:p>
        </w:tc>
        <w:tc>
          <w:tcPr/>
          <w:p>
            <w:pPr>
              <w:pStyle w:val="Compact"/>
              <w:jc w:val="left"/>
            </w:pPr>
            <w:r>
              <w:t xml:space="preserve">Arbobesluit / SER-lijst</w:t>
            </w:r>
          </w:p>
        </w:tc>
        <w:tc>
          <w:tcPr/>
          <w:p>
            <w:pPr>
              <w:pStyle w:val="Compact"/>
              <w:jc w:val="left"/>
            </w:pPr>
            <w:r>
              <w:t xml:space="preserve">Correct vermeld incl. streefrisico 0,01 µg/m³ en meest-stringent-beginsel (§6)</w:t>
            </w:r>
          </w:p>
        </w:tc>
        <w:tc>
          <w:tcPr/>
          <w:p>
            <w:pPr>
              <w:pStyle w:val="Compact"/>
              <w:jc w:val="left"/>
            </w:pPr>
            <w:r>
              <w:rPr>
                <w:b/>
                <w:bCs/>
              </w:rPr>
              <w:t xml:space="preserve">Conform</w:t>
            </w:r>
          </w:p>
        </w:tc>
      </w:tr>
      <w:tr>
        <w:tc>
          <w:tcPr/>
          <w:p>
            <w:pPr>
              <w:pStyle w:val="Compact"/>
              <w:jc w:val="left"/>
            </w:pPr>
            <w:r>
              <w:t xml:space="preserve">B8</w:t>
            </w:r>
          </w:p>
        </w:tc>
        <w:tc>
          <w:tcPr/>
          <w:p>
            <w:pPr>
              <w:pStyle w:val="Compact"/>
              <w:jc w:val="left"/>
            </w:pPr>
            <w:r>
              <w:t xml:space="preserve">REACH Bijlage XIV (autorisatie Cr(VI))</w:t>
            </w:r>
          </w:p>
        </w:tc>
        <w:tc>
          <w:tcPr/>
          <w:p>
            <w:pPr>
              <w:pStyle w:val="Compact"/>
              <w:jc w:val="left"/>
            </w:pPr>
            <w:r>
              <w:t xml:space="preserve">REACH (EG) 1907/2006, Bijlage XIV</w:t>
            </w:r>
          </w:p>
        </w:tc>
        <w:tc>
          <w:tcPr/>
          <w:p>
            <w:pPr>
              <w:pStyle w:val="Compact"/>
              <w:jc w:val="left"/>
            </w:pPr>
            <w:r>
              <w:t xml:space="preserve">Niet in referentielijst (§6)</w:t>
            </w:r>
          </w:p>
        </w:tc>
        <w:tc>
          <w:tcPr/>
          <w:p>
            <w:pPr>
              <w:pStyle w:val="Compact"/>
              <w:jc w:val="left"/>
            </w:pPr>
            <w:r>
              <w:rPr>
                <w:b/>
                <w:bCs/>
              </w:rPr>
              <w:t xml:space="preserve">P2</w:t>
            </w:r>
          </w:p>
        </w:tc>
      </w:tr>
      <w:tr>
        <w:tc>
          <w:tcPr/>
          <w:p>
            <w:pPr>
              <w:pStyle w:val="Compact"/>
              <w:jc w:val="left"/>
            </w:pPr>
            <w:r>
              <w:t xml:space="preserve">B9</w:t>
            </w:r>
          </w:p>
        </w:tc>
        <w:tc>
          <w:tcPr/>
          <w:p>
            <w:pPr>
              <w:pStyle w:val="Compact"/>
              <w:jc w:val="left"/>
            </w:pPr>
            <w:r>
              <w:t xml:space="preserve">Afvalstroom Cr(VI): klassering + afvoer</w:t>
            </w:r>
          </w:p>
        </w:tc>
        <w:tc>
          <w:tcPr/>
          <w:p>
            <w:pPr>
              <w:pStyle w:val="Compact"/>
              <w:jc w:val="left"/>
            </w:pPr>
            <w:r>
              <w:t xml:space="preserve">Bal; Wet milieubeheer / Afvalstoffen</w:t>
            </w:r>
          </w:p>
        </w:tc>
        <w:tc>
          <w:tcPr/>
          <w:p>
            <w:pPr>
              <w:pStyle w:val="Compact"/>
              <w:jc w:val="left"/>
            </w:pPr>
            <w:r>
              <w:t xml:space="preserve">Generiek</w:t>
            </w:r>
            <w:r>
              <w:t xml:space="preserve"> </w:t>
            </w:r>
            <w:r>
              <w:t xml:space="preserve">“</w:t>
            </w:r>
            <w:r>
              <w:t xml:space="preserve">hazardous or chemical waste</w:t>
            </w:r>
            <w:r>
              <w:t xml:space="preserve">”</w:t>
            </w:r>
            <w:r>
              <w:t xml:space="preserve"> </w:t>
            </w:r>
            <w:r>
              <w:t xml:space="preserve">(§4.5.1–4.5.3); geen afvalstroomclassificatie</w:t>
            </w:r>
          </w:p>
        </w:tc>
        <w:tc>
          <w:tcPr/>
          <w:p>
            <w:pPr>
              <w:pStyle w:val="Compact"/>
              <w:jc w:val="left"/>
            </w:pPr>
            <w:r>
              <w:rPr>
                <w:b/>
                <w:bCs/>
              </w:rPr>
              <w:t xml:space="preserve">P2</w:t>
            </w:r>
          </w:p>
        </w:tc>
      </w:tr>
      <w:tr>
        <w:tc>
          <w:tcPr/>
          <w:p>
            <w:pPr>
              <w:pStyle w:val="Compact"/>
              <w:jc w:val="left"/>
            </w:pPr>
            <w:r>
              <w:t xml:space="preserve">B10</w:t>
            </w:r>
          </w:p>
        </w:tc>
        <w:tc>
          <w:tcPr/>
          <w:p>
            <w:pPr>
              <w:pStyle w:val="Compact"/>
              <w:jc w:val="left"/>
            </w:pPr>
            <w:r>
              <w:t xml:space="preserve">AI-bladen 67, 31, 18, 77 als praktijkkader</w:t>
            </w:r>
          </w:p>
        </w:tc>
        <w:tc>
          <w:tcPr/>
          <w:p>
            <w:pPr>
              <w:pStyle w:val="Compact"/>
              <w:jc w:val="left"/>
            </w:pPr>
            <w:r>
              <w:t xml:space="preserve">Arbo-Informatiebladen (SZW)</w:t>
            </w:r>
          </w:p>
        </w:tc>
        <w:tc>
          <w:tcPr/>
          <w:p>
            <w:pPr>
              <w:pStyle w:val="Compact"/>
              <w:jc w:val="left"/>
            </w:pPr>
            <w:r>
              <w:t xml:space="preserve">Niet in referentielijst (§6)</w:t>
            </w:r>
          </w:p>
        </w:tc>
        <w:tc>
          <w:tcPr/>
          <w:p>
            <w:pPr>
              <w:pStyle w:val="Compact"/>
              <w:jc w:val="left"/>
            </w:pPr>
            <w:r>
              <w:rPr>
                <w:b/>
                <w:bCs/>
              </w:rPr>
              <w:t xml:space="preserve">P2</w:t>
            </w:r>
          </w:p>
        </w:tc>
      </w:tr>
      <w:tr>
        <w:tc>
          <w:tcPr/>
          <w:p>
            <w:pPr>
              <w:pStyle w:val="Compact"/>
              <w:jc w:val="left"/>
            </w:pPr>
            <w:r>
              <w:t xml:space="preserve">B11</w:t>
            </w:r>
          </w:p>
        </w:tc>
        <w:tc>
          <w:tcPr/>
          <w:p>
            <w:pPr>
              <w:pStyle w:val="Compact"/>
              <w:jc w:val="left"/>
            </w:pPr>
            <w:r>
              <w:t xml:space="preserve">Beheersregime Chroom-6</w:t>
            </w:r>
          </w:p>
        </w:tc>
        <w:tc>
          <w:tcPr/>
          <w:p>
            <w:pPr>
              <w:pStyle w:val="Compact"/>
              <w:jc w:val="left"/>
            </w:pPr>
            <w:r>
              <w:t xml:space="preserve">RWS/Defensie/ProRail/RVB</w:t>
            </w:r>
          </w:p>
        </w:tc>
        <w:tc>
          <w:tcPr/>
          <w:p>
            <w:pPr>
              <w:pStyle w:val="Compact"/>
              <w:jc w:val="left"/>
            </w:pPr>
            <w:r>
              <w:t xml:space="preserve">Genoemd in referentielijst (§6), niet operationeel uitgewerkt</w:t>
            </w:r>
          </w:p>
        </w:tc>
        <w:tc>
          <w:tcPr/>
          <w:p>
            <w:pPr>
              <w:pStyle w:val="Compact"/>
              <w:jc w:val="left"/>
            </w:pPr>
            <w:r>
              <w:rPr>
                <w:b/>
                <w:bCs/>
              </w:rPr>
              <w:t xml:space="preserve">P2</w:t>
            </w:r>
          </w:p>
        </w:tc>
      </w:tr>
      <w:tr>
        <w:tc>
          <w:tcPr/>
          <w:p>
            <w:pPr>
              <w:pStyle w:val="Compact"/>
              <w:jc w:val="left"/>
            </w:pPr>
            <w:r>
              <w:t xml:space="preserve">B12</w:t>
            </w:r>
          </w:p>
        </w:tc>
        <w:tc>
          <w:tcPr/>
          <w:p>
            <w:pPr>
              <w:pStyle w:val="Compact"/>
              <w:jc w:val="left"/>
            </w:pPr>
            <w:r>
              <w:t xml:space="preserve">5M-methode / hiërarchie incl. substitutie</w:t>
            </w:r>
          </w:p>
        </w:tc>
        <w:tc>
          <w:tcPr/>
          <w:p>
            <w:pPr>
              <w:pStyle w:val="Compact"/>
              <w:jc w:val="left"/>
            </w:pPr>
            <w:r>
              <w:t xml:space="preserve">Arbocatalogi; Arbobesluit art. 4.4</w:t>
            </w:r>
          </w:p>
        </w:tc>
        <w:tc>
          <w:tcPr/>
          <w:p>
            <w:pPr>
              <w:pStyle w:val="Compact"/>
              <w:jc w:val="left"/>
            </w:pPr>
            <w:r>
              <w:t xml:space="preserve">Hiërarchie grotendeels gevolgd (§4.5); substitutie/bronmaatregelen niet gedocumenteerd</w:t>
            </w:r>
          </w:p>
        </w:tc>
        <w:tc>
          <w:tcPr/>
          <w:p>
            <w:pPr>
              <w:pStyle w:val="Compact"/>
              <w:jc w:val="left"/>
            </w:pPr>
            <w:r>
              <w:rPr>
                <w:b/>
                <w:bCs/>
              </w:rPr>
              <w:t xml:space="preserve">P2</w:t>
            </w:r>
          </w:p>
        </w:tc>
      </w:tr>
      <w:tr>
        <w:tc>
          <w:tcPr/>
          <w:p>
            <w:pPr>
              <w:pStyle w:val="Compact"/>
              <w:jc w:val="left"/>
            </w:pPr>
            <w:r>
              <w:t xml:space="preserve">B13</w:t>
            </w:r>
          </w:p>
        </w:tc>
        <w:tc>
          <w:tcPr/>
          <w:p>
            <w:pPr>
              <w:pStyle w:val="Compact"/>
              <w:jc w:val="left"/>
            </w:pPr>
            <w:r>
              <w:t xml:space="preserve">NEN-EN 689/482-normverwijzing</w:t>
            </w:r>
          </w:p>
        </w:tc>
        <w:tc>
          <w:tcPr/>
          <w:p>
            <w:pPr>
              <w:pStyle w:val="Compact"/>
              <w:jc w:val="left"/>
            </w:pPr>
            <w:r>
              <w:t xml:space="preserve">NEN-EN 689; NEN-EN 482</w:t>
            </w:r>
          </w:p>
        </w:tc>
        <w:tc>
          <w:tcPr/>
          <w:p>
            <w:pPr>
              <w:pStyle w:val="Compact"/>
              <w:jc w:val="left"/>
            </w:pPr>
            <w:r>
              <w:t xml:space="preserve">Niet in referentielijst (§6)</w:t>
            </w:r>
          </w:p>
        </w:tc>
        <w:tc>
          <w:tcPr/>
          <w:p>
            <w:pPr>
              <w:pStyle w:val="Compact"/>
              <w:jc w:val="left"/>
            </w:pPr>
            <w:r>
              <w:rPr>
                <w:b/>
                <w:bCs/>
              </w:rPr>
              <w:t xml:space="preserve">P1</w:t>
            </w:r>
            <w:r>
              <w:t xml:space="preserve"> </w:t>
            </w:r>
            <w:r>
              <w:t xml:space="preserve">(valt onder B1; separaat benoemd i.v.m. referentielijst)</w:t>
            </w:r>
          </w:p>
        </w:tc>
      </w:tr>
      <w:tr>
        <w:tc>
          <w:tcPr/>
          <w:p>
            <w:pPr>
              <w:pStyle w:val="Compact"/>
              <w:jc w:val="left"/>
            </w:pPr>
            <w:r>
              <w:t xml:space="preserve">B14</w:t>
            </w:r>
          </w:p>
        </w:tc>
        <w:tc>
          <w:tcPr/>
          <w:p>
            <w:pPr>
              <w:pStyle w:val="Compact"/>
              <w:jc w:val="left"/>
            </w:pPr>
            <w:r>
              <w:t xml:space="preserve">Documentbeheer / versieconsistentie</w:t>
            </w:r>
          </w:p>
        </w:tc>
        <w:tc>
          <w:tcPr/>
          <w:p>
            <w:pPr>
              <w:pStyle w:val="Compact"/>
              <w:jc w:val="left"/>
            </w:pPr>
            <w:r>
              <w:t xml:space="preserve">Eigen QC / ISO 9001-logica</w:t>
            </w:r>
          </w:p>
        </w:tc>
        <w:tc>
          <w:tcPr/>
          <w:p>
            <w:pPr>
              <w:pStyle w:val="Compact"/>
              <w:jc w:val="left"/>
            </w:pPr>
            <w:r>
              <w:t xml:space="preserve">Rev A vs Rev 1, lege revision log,</w:t>
            </w:r>
            <w:r>
              <w:t xml:space="preserve"> </w:t>
            </w:r>
            <w:r>
              <w:t xml:space="preserve">“</w:t>
            </w:r>
            <w:r>
              <w:t xml:space="preserve">May 2026</w:t>
            </w:r>
            <w:r>
              <w:t xml:space="preserve">”</w:t>
            </w:r>
            <w:r>
              <w:t xml:space="preserve"> </w:t>
            </w:r>
            <w:r>
              <w:t xml:space="preserve">vs 15-04-2026</w:t>
            </w:r>
          </w:p>
        </w:tc>
        <w:tc>
          <w:tcPr/>
          <w:p>
            <w:pPr>
              <w:pStyle w:val="Compact"/>
              <w:jc w:val="left"/>
            </w:pPr>
            <w:r>
              <w:rPr>
                <w:b/>
                <w:bCs/>
              </w:rPr>
              <w:t xml:space="preserve">P2</w:t>
            </w:r>
          </w:p>
        </w:tc>
      </w:tr>
      <w:tr>
        <w:tc>
          <w:tcPr/>
          <w:p>
            <w:pPr>
              <w:pStyle w:val="Compact"/>
              <w:jc w:val="left"/>
            </w:pPr>
            <w:r>
              <w:t xml:space="preserve">B15</w:t>
            </w:r>
          </w:p>
        </w:tc>
        <w:tc>
          <w:tcPr/>
          <w:p>
            <w:pPr>
              <w:pStyle w:val="Compact"/>
              <w:jc w:val="left"/>
            </w:pPr>
            <w:r>
              <w:t xml:space="preserve">Gevareninformatie &amp; gezondheidseffecten</w:t>
            </w:r>
          </w:p>
        </w:tc>
        <w:tc>
          <w:tcPr/>
          <w:p>
            <w:pPr>
              <w:pStyle w:val="Compact"/>
              <w:jc w:val="left"/>
            </w:pPr>
            <w:r>
              <w:t xml:space="preserve">AI-77; CLP</w:t>
            </w:r>
          </w:p>
        </w:tc>
        <w:tc>
          <w:tcPr/>
          <w:p>
            <w:pPr>
              <w:pStyle w:val="Compact"/>
              <w:jc w:val="left"/>
            </w:pPr>
            <w:r>
              <w:t xml:space="preserve">Volledig en feitelijk juist (§4.1–4.3)</w:t>
            </w:r>
          </w:p>
        </w:tc>
        <w:tc>
          <w:tcPr/>
          <w:p>
            <w:pPr>
              <w:pStyle w:val="Compact"/>
              <w:jc w:val="left"/>
            </w:pPr>
            <w:r>
              <w:rPr>
                <w:b/>
                <w:bCs/>
              </w:rPr>
              <w:t xml:space="preserve">Conform</w:t>
            </w:r>
          </w:p>
        </w:tc>
      </w:tr>
      <w:tr>
        <w:tc>
          <w:tcPr/>
          <w:p>
            <w:pPr>
              <w:pStyle w:val="Compact"/>
              <w:jc w:val="left"/>
            </w:pPr>
            <w:r>
              <w:t xml:space="preserve">B16</w:t>
            </w:r>
          </w:p>
        </w:tc>
        <w:tc>
          <w:tcPr/>
          <w:p>
            <w:pPr>
              <w:pStyle w:val="Compact"/>
              <w:jc w:val="left"/>
            </w:pPr>
            <w:r>
              <w:t xml:space="preserve">Identificatie, marking, surveys, PTW/TRA-koppeling</w:t>
            </w:r>
          </w:p>
        </w:tc>
        <w:tc>
          <w:tcPr/>
          <w:p>
            <w:pPr>
              <w:pStyle w:val="Compact"/>
              <w:jc w:val="left"/>
            </w:pPr>
            <w:r>
              <w:t xml:space="preserve">AI-77 §praktijk; Arbobesluit art. 4.5</w:t>
            </w:r>
          </w:p>
        </w:tc>
        <w:tc>
          <w:tcPr/>
          <w:p>
            <w:pPr>
              <w:pStyle w:val="Compact"/>
              <w:jc w:val="left"/>
            </w:pPr>
            <w:r>
              <w:t xml:space="preserve">Goed uitgewerkt incl. </w:t>
            </w:r>
            <w:r>
              <w:t xml:space="preserve">“</w:t>
            </w:r>
            <w:r>
              <w:t xml:space="preserve">treat as contaminated until confirmed otherwise</w:t>
            </w:r>
            <w:r>
              <w:t xml:space="preserve">”</w:t>
            </w:r>
            <w:r>
              <w:t xml:space="preserve"> </w:t>
            </w:r>
            <w:r>
              <w:t xml:space="preserve">(§4.4)</w:t>
            </w:r>
          </w:p>
        </w:tc>
        <w:tc>
          <w:tcPr/>
          <w:p>
            <w:pPr>
              <w:pStyle w:val="Compact"/>
              <w:jc w:val="left"/>
            </w:pPr>
            <w:r>
              <w:rPr>
                <w:b/>
                <w:bCs/>
              </w:rPr>
              <w:t xml:space="preserve">Conform</w:t>
            </w:r>
          </w:p>
        </w:tc>
      </w:tr>
      <w:tr>
        <w:tc>
          <w:tcPr/>
          <w:p>
            <w:pPr>
              <w:pStyle w:val="Compact"/>
              <w:jc w:val="left"/>
            </w:pPr>
            <w:r>
              <w:t xml:space="preserve">B17</w:t>
            </w:r>
          </w:p>
        </w:tc>
        <w:tc>
          <w:tcPr/>
          <w:p>
            <w:pPr>
              <w:pStyle w:val="Compact"/>
              <w:jc w:val="left"/>
            </w:pPr>
            <w:r>
              <w:t xml:space="preserve">Hygiëne, decontaminatie, PBM-regime (P3, volgelaatsmasker)</w:t>
            </w:r>
          </w:p>
        </w:tc>
        <w:tc>
          <w:tcPr/>
          <w:p>
            <w:pPr>
              <w:pStyle w:val="Compact"/>
              <w:jc w:val="left"/>
            </w:pPr>
            <w:r>
              <w:t xml:space="preserve">AI-18; Arbobesluit art. 4.5/8.35-structuur</w:t>
            </w:r>
          </w:p>
        </w:tc>
        <w:tc>
          <w:tcPr/>
          <w:p>
            <w:pPr>
              <w:pStyle w:val="Compact"/>
              <w:jc w:val="left"/>
            </w:pPr>
            <w:r>
              <w:t xml:space="preserve">Concreet en uitvoerbaar per activiteit (§4.5.1–4.5.3)</w:t>
            </w:r>
          </w:p>
        </w:tc>
        <w:tc>
          <w:tcPr/>
          <w:p>
            <w:pPr>
              <w:pStyle w:val="Compact"/>
              <w:jc w:val="left"/>
            </w:pPr>
            <w:r>
              <w:rPr>
                <w:b/>
                <w:bCs/>
              </w:rPr>
              <w:t xml:space="preserve">Conform</w:t>
            </w:r>
          </w:p>
        </w:tc>
      </w:tr>
      <w:tr>
        <w:tc>
          <w:tcPr/>
          <w:p>
            <w:pPr>
              <w:pStyle w:val="Compact"/>
              <w:jc w:val="left"/>
            </w:pPr>
            <w:r>
              <w:t xml:space="preserve">B18</w:t>
            </w:r>
          </w:p>
        </w:tc>
        <w:tc>
          <w:tcPr/>
          <w:p>
            <w:pPr>
              <w:pStyle w:val="Compact"/>
              <w:jc w:val="left"/>
            </w:pPr>
            <w:r>
              <w:t xml:space="preserve">Rollen &amp; verantwoordelijkheden</w:t>
            </w:r>
          </w:p>
        </w:tc>
        <w:tc>
          <w:tcPr/>
          <w:p>
            <w:pPr>
              <w:pStyle w:val="Compact"/>
              <w:jc w:val="left"/>
            </w:pPr>
            <w:r>
              <w:t xml:space="preserve">Arbobesluit art. 3.4-structuur / ISO-achtige verantwoordelijkhedenverdeling</w:t>
            </w:r>
          </w:p>
        </w:tc>
        <w:tc>
          <w:tcPr/>
          <w:p>
            <w:pPr>
              <w:pStyle w:val="Compact"/>
              <w:jc w:val="left"/>
            </w:pPr>
            <w:r>
              <w:t xml:space="preserve">Volledig hoofdstuk met 6 rollen (§3)</w:t>
            </w:r>
          </w:p>
        </w:tc>
        <w:tc>
          <w:tcPr/>
          <w:p>
            <w:pPr>
              <w:pStyle w:val="Compact"/>
              <w:jc w:val="left"/>
            </w:pPr>
            <w:r>
              <w:rPr>
                <w:b/>
                <w:bCs/>
              </w:rPr>
              <w:t xml:space="preserve">Conform</w:t>
            </w:r>
          </w:p>
        </w:tc>
      </w:tr>
    </w:tbl>
    <w:p>
      <w:pPr>
        <w:pStyle w:val="BodyText"/>
      </w:pPr>
      <w:r>
        <w:rPr>
          <w:i/>
          <w:iCs/>
        </w:rPr>
        <w:t xml:space="preserve">Totaal beoordeelde items: 18 (B13 is formeel onderdeel van B1; zonder B13 telt de matrix 5×P1, 7×P2, 6×Conform over 17 items — B13 is ter volledigheid separaat genummerd omdat de normreferentie in §6 afzonderlijk ontbreekt).</w:t>
      </w:r>
    </w:p>
    <w:p>
      <w:r>
        <w:pict>
          <v:rect style="width:0;height:1.5pt" o:hralign="center" o:hrstd="t" o:hr="t"/>
        </w:pict>
      </w:r>
    </w:p>
    <w:bookmarkEnd w:id="22"/>
    <w:bookmarkStart w:id="37" w:name="gedetailleerde-toetsing-per-wetsartikel"/>
    <w:p>
      <w:pPr>
        <w:pStyle w:val="Heading2"/>
      </w:pPr>
      <w:r>
        <w:t xml:space="preserve">3. Gedetailleerde toetsing per wetsartikel</w:t>
      </w:r>
    </w:p>
    <w:bookmarkStart w:id="23" w:name="X4c21acd797a83b64fef6c36af7cb07627e90ad7"/>
    <w:p>
      <w:pPr>
        <w:pStyle w:val="Heading3"/>
      </w:pPr>
      <w:r>
        <w:t xml:space="preserve">B1 — Meetstrategie en toetsing grenswaarde (P1)</w:t>
      </w:r>
    </w:p>
    <w:p>
      <w:pPr>
        <w:pStyle w:val="FirstParagraph"/>
      </w:pPr>
      <w:r>
        <w:rPr>
          <w:b/>
          <w:bCs/>
        </w:rPr>
        <w:t xml:space="preserve">Eis</w:t>
      </w:r>
      <w:r>
        <w:t xml:space="preserve">: Arbobesluit art. 4.2 lid 4 — blootstelling wordt beoordeeld en gemeten volgens een meetstrategie conform NEN-EN 689; meetprocedures conform NEN-EN 482; toetsing aan de wettelijke grenswaarde van 1 µg/m³ (drempelwaarde sinds 1 maart 2017) [AI-77 §3].</w:t>
      </w:r>
      <w:r>
        <w:t xml:space="preserve"> </w:t>
      </w:r>
      <w:r>
        <w:rPr>
          <w:b/>
          <w:bCs/>
        </w:rPr>
        <w:t xml:space="preserve">Bevinding</w:t>
      </w:r>
      <w:r>
        <w:t xml:space="preserve">: Het brondocument noemt in §5 (Monitoring and Review) als mogelijke monitoringactiviteiten</w:t>
      </w:r>
      <w:r>
        <w:t xml:space="preserve"> </w:t>
      </w:r>
      <w:r>
        <w:t xml:space="preserve">“</w:t>
      </w:r>
      <w:r>
        <w:t xml:space="preserve">review of exposure monitoring data</w:t>
      </w:r>
      <w:r>
        <w:t xml:space="preserve">”</w:t>
      </w:r>
      <w:r>
        <w:t xml:space="preserve">, en</w:t>
      </w:r>
      <w:r>
        <w:t xml:space="preserve"> </w:t>
      </w:r>
      <w:r>
        <w:t xml:space="preserve">“</w:t>
      </w:r>
      <w:r>
        <w:t xml:space="preserve">exposure monitoring results</w:t>
      </w:r>
      <w:r>
        <w:t xml:space="preserve">”</w:t>
      </w:r>
      <w:r>
        <w:t xml:space="preserve"> </w:t>
      </w:r>
      <w:r>
        <w:t xml:space="preserve">als reviewtrigger voor de procedure zelf. Er is</w:t>
      </w:r>
      <w:r>
        <w:t xml:space="preserve"> </w:t>
      </w:r>
      <w:r>
        <w:rPr>
          <w:b/>
          <w:bCs/>
        </w:rPr>
        <w:t xml:space="preserve">geen meetstrategie</w:t>
      </w:r>
      <w:r>
        <w:t xml:space="preserve"> </w:t>
      </w:r>
      <w:r>
        <w:t xml:space="preserve">gedefinieerd: geen baseline-/taakmetingen, geen meetfrequentie, geen bemonsteringsduur, geen toetskader (bijv. het NEN-EN 689-toetskader waarbij bij 3 metingen alle waarden &lt; 10% van de grenswaarde voldoende zekerheid biedt [AI-77]), geen verantwoordelijke voor metingen en geen koppeling van meetresultaten aan de 1 µg/m³-grenswaarde. Zonder metingen kan ook niet worden aangetoond dat het ALARP-doel (§1) en het P3/PBM-regime (§4.5) adequaat zijn.</w:t>
      </w:r>
      <w:r>
        <w:t xml:space="preserve"> </w:t>
      </w:r>
      <w:r>
        <w:rPr>
          <w:b/>
          <w:bCs/>
        </w:rPr>
        <w:t xml:space="preserve">Classificatie</w:t>
      </w:r>
      <w:r>
        <w:t xml:space="preserve">: P1 — wettelijk verplicht, ontbreekt.</w:t>
      </w:r>
    </w:p>
    <w:bookmarkEnd w:id="23"/>
    <w:bookmarkStart w:id="24" w:name="X26702593f6f05865c75d12200dcf035cd234d68"/>
    <w:p>
      <w:pPr>
        <w:pStyle w:val="Heading3"/>
      </w:pPr>
      <w:r>
        <w:t xml:space="preserve">B2 — Arbeidsgezondheidskundig onderzoek / AGO (P1)</w:t>
      </w:r>
    </w:p>
    <w:p>
      <w:pPr>
        <w:pStyle w:val="FirstParagraph"/>
      </w:pPr>
      <w:r>
        <w:rPr>
          <w:b/>
          <w:bCs/>
        </w:rPr>
        <w:t xml:space="preserve">Eis</w:t>
      </w:r>
      <w:r>
        <w:t xml:space="preserve">: Arbobesluit art. 4.10a — werknemers die blootstelling ondervinden aan kankerverwekkende stoffen hebben recht op arbeidsgezondheidskundig onderzoek, bij voorkeur vóór aanvang van de blootstellingswerkzaamheden en periodiek daarna.</w:t>
      </w:r>
      <w:r>
        <w:t xml:space="preserve"> </w:t>
      </w:r>
      <w:r>
        <w:rPr>
          <w:b/>
          <w:bCs/>
        </w:rPr>
        <w:t xml:space="preserve">Bevinding</w:t>
      </w:r>
      <w:r>
        <w:t xml:space="preserve">: Het brondocument bevat nergens een verwijzing naar (P)AGO, bedrijfsarts, medische keuring of gezondheidssurveillance. De rollen in §3 bevatten geen arbodienst-/bedrijfsartsrol.</w:t>
      </w:r>
      <w:r>
        <w:t xml:space="preserve"> </w:t>
      </w:r>
      <w:r>
        <w:rPr>
          <w:b/>
          <w:bCs/>
        </w:rPr>
        <w:t xml:space="preserve">Classificatie</w:t>
      </w:r>
      <w:r>
        <w:t xml:space="preserve">: P1 — wettelijk verplicht, ontbreekt.</w:t>
      </w:r>
    </w:p>
    <w:bookmarkEnd w:id="24"/>
    <w:bookmarkStart w:id="25" w:name="Xac3038a05e338de8700016030c9192707f092bf"/>
    <w:p>
      <w:pPr>
        <w:pStyle w:val="Heading3"/>
      </w:pPr>
      <w:r>
        <w:t xml:space="preserve">B3 — Bewaartermijn blootstellingsgegevens (P1)</w:t>
      </w:r>
    </w:p>
    <w:p>
      <w:pPr>
        <w:pStyle w:val="FirstParagraph"/>
      </w:pPr>
      <w:r>
        <w:rPr>
          <w:b/>
          <w:bCs/>
        </w:rPr>
        <w:t xml:space="preserve">Eis</w:t>
      </w:r>
      <w:r>
        <w:t xml:space="preserve">: Arbobesluit art. 4.10c — gegevens over blootstelling en meetresultaten worden bewaard en beschikbaar gehouden gedurende 40 jaar na beëindiging van de blootstelling [AI-77:</w:t>
      </w:r>
      <w:r>
        <w:t xml:space="preserve"> </w:t>
      </w:r>
      <w:r>
        <w:t xml:space="preserve">“</w:t>
      </w:r>
      <w:r>
        <w:t xml:space="preserve">Logboeken meetresultaten dienen veertig jaar na de laatste blootstelling bewaard te worden (conform Arbobesluit)</w:t>
      </w:r>
      <w:r>
        <w:t xml:space="preserve">”</w:t>
      </w:r>
      <w:r>
        <w:t xml:space="preserve">].</w:t>
      </w:r>
      <w:r>
        <w:t xml:space="preserve"> </w:t>
      </w:r>
      <w:r>
        <w:rPr>
          <w:b/>
          <w:bCs/>
        </w:rPr>
        <w:t xml:space="preserve">Bevinding</w:t>
      </w:r>
      <w:r>
        <w:t xml:space="preserve">: Geen enkele bepaling over registratie-, bewaar- of overdrachtplicht van blootstellings- en meetgegevens. Ook de projectafschaling (decommissio</w:t>
      </w:r>
      <w:r>
        <w:softHyphen/>
      </w:r>
      <w:r>
        <w:t xml:space="preserve">ning = tijdelijk project) maakt een overdrachtsregeling naar het KOO-dossier noodzakelijk.</w:t>
      </w:r>
      <w:r>
        <w:t xml:space="preserve"> </w:t>
      </w:r>
      <w:r>
        <w:rPr>
          <w:b/>
          <w:bCs/>
        </w:rPr>
        <w:t xml:space="preserve">Classificatie</w:t>
      </w:r>
      <w:r>
        <w:t xml:space="preserve">: P1 — wettelijk verplicht, ontbreekt.</w:t>
      </w:r>
    </w:p>
    <w:bookmarkEnd w:id="25"/>
    <w:bookmarkStart w:id="26" w:name="X8be30185a87f2a4b429dbb2cb3f84e5886d402f"/>
    <w:p>
      <w:pPr>
        <w:pStyle w:val="Heading3"/>
      </w:pPr>
      <w:r>
        <w:t xml:space="preserve">B4 — RI&amp;E inclusief tox-elementen en vervangingsonderbouwing (P1)</w:t>
      </w:r>
    </w:p>
    <w:p>
      <w:pPr>
        <w:pStyle w:val="FirstParagraph"/>
      </w:pPr>
      <w:r>
        <w:rPr>
          <w:b/>
          <w:bCs/>
        </w:rPr>
        <w:t xml:space="preserve">Eis</w:t>
      </w:r>
      <w:r>
        <w:t xml:space="preserve">: Arbobesluit art. 4.13 — de werkgever documenteert in de RI&amp;E o.a. aard, mate en duur van de blootstelling (art. 4.2 lid 1), de genomen maatregelen, en de gevallen waarin kankerverwekkende stoffen worden vervangen dan wel waarom vervanging (nog) niet mogelijk is. Voor chroom-6 geldt als belangrijkste inspanningsverplichting het vervangen van de stof [AI-77].</w:t>
      </w:r>
      <w:r>
        <w:t xml:space="preserve"> </w:t>
      </w:r>
      <w:r>
        <w:rPr>
          <w:b/>
          <w:bCs/>
        </w:rPr>
        <w:t xml:space="preserve">Bevinding</w:t>
      </w:r>
      <w:r>
        <w:t xml:space="preserve">: §4.4 verplicht dat risico’s worden</w:t>
      </w:r>
      <w:r>
        <w:t xml:space="preserve"> </w:t>
      </w:r>
      <w:r>
        <w:t xml:space="preserve">“</w:t>
      </w:r>
      <w:r>
        <w:t xml:space="preserve">addressed in the relevant TRA/JSA and Permit to Work</w:t>
      </w:r>
      <w:r>
        <w:t xml:space="preserve">”</w:t>
      </w:r>
      <w:r>
        <w:t xml:space="preserve">. Een TRA/JSA is echter een taakgebonden risicobeoordeling en vult de RI&amp;E-registratieplicht (met aard/mate/duur, hoeveelheden, aantal blootgestelde werknemers, arbeidsvorm) niet in. Een vervangings-/bronmaatregeloverweging (bijv.</w:t>
      </w:r>
      <w:r>
        <w:t xml:space="preserve"> </w:t>
      </w:r>
      <w:r>
        <w:t xml:space="preserve">“</w:t>
      </w:r>
      <w:r>
        <w:t xml:space="preserve">koude snijtechniek i.p.v. thermisch snijden</w:t>
      </w:r>
      <w:r>
        <w:t xml:space="preserve">”</w:t>
      </w:r>
      <w:r>
        <w:t xml:space="preserve"> </w:t>
      </w:r>
      <w:r>
        <w:t xml:space="preserve">als overwogen/verworpen/ingevoerde bronmaatregel) ontbreekt — terwijl §5 (Continuous Improvement) alternatieven voor perslucht en vacuumsystemen wél overweegt, wordt de substitutie-/bronmaatregelafweging (bijv. cold cutting boven hot cutting) nergens als verplichte documentatiestap verankerd.</w:t>
      </w:r>
      <w:r>
        <w:t xml:space="preserve"> </w:t>
      </w:r>
      <w:r>
        <w:rPr>
          <w:b/>
          <w:bCs/>
        </w:rPr>
        <w:t xml:space="preserve">Classificatie</w:t>
      </w:r>
      <w:r>
        <w:t xml:space="preserve">: P1 — wettelijk verplichte registratie- en onderbouwingselementen ontbreken.</w:t>
      </w:r>
    </w:p>
    <w:bookmarkEnd w:id="26"/>
    <w:bookmarkStart w:id="27" w:name="b5-lijst-van-blootgestelde-werknemers-p1"/>
    <w:p>
      <w:pPr>
        <w:pStyle w:val="Heading3"/>
      </w:pPr>
      <w:r>
        <w:t xml:space="preserve">B5 — Lijst van blootgestelde werknemers (P1)</w:t>
      </w:r>
    </w:p>
    <w:p>
      <w:pPr>
        <w:pStyle w:val="FirstParagraph"/>
      </w:pPr>
      <w:r>
        <w:rPr>
          <w:b/>
          <w:bCs/>
        </w:rPr>
        <w:t xml:space="preserve">Eis</w:t>
      </w:r>
      <w:r>
        <w:t xml:space="preserve">: Arbobesluit art. 4.15 — een lijst wordt bijgehouden van werknemers die worden of kunnen worden blootgesteld, onder vermelding van de ondergane blootstelling; werknemers hebben inzage- en afschriftrecht [AI-77 §6.1.3].</w:t>
      </w:r>
      <w:r>
        <w:t xml:space="preserve"> </w:t>
      </w:r>
      <w:r>
        <w:rPr>
          <w:b/>
          <w:bCs/>
        </w:rPr>
        <w:t xml:space="preserve">Bevinding</w:t>
      </w:r>
      <w:r>
        <w:t xml:space="preserve">: Volledig afwezig. Geen registratieplicht van blootgesteld personeel (eigen personeel én subcontractors — §3 verplicht contractors wel tot naleving van de procedure, zodat de lijstverplichting doorloopt in de keten), geen inzagerecht-regeling.</w:t>
      </w:r>
      <w:r>
        <w:t xml:space="preserve"> </w:t>
      </w:r>
      <w:r>
        <w:rPr>
          <w:b/>
          <w:bCs/>
        </w:rPr>
        <w:t xml:space="preserve">Classificatie</w:t>
      </w:r>
      <w:r>
        <w:t xml:space="preserve">: P1 — wettelijk verplicht, ontbreekt.</w:t>
      </w:r>
    </w:p>
    <w:bookmarkEnd w:id="27"/>
    <w:bookmarkStart w:id="28" w:name="X6ed3df955b9a4cc15dffd2c37d9521065a2d6d0"/>
    <w:p>
      <w:pPr>
        <w:pStyle w:val="Heading3"/>
      </w:pPr>
      <w:r>
        <w:t xml:space="preserve">B6 — Abnormale blootstelling en OR/PVT-informering (P2)</w:t>
      </w:r>
    </w:p>
    <w:p>
      <w:pPr>
        <w:pStyle w:val="FirstParagraph"/>
      </w:pPr>
      <w:r>
        <w:rPr>
          <w:b/>
          <w:bCs/>
        </w:rPr>
        <w:t xml:space="preserve">Eis</w:t>
      </w:r>
      <w:r>
        <w:t xml:space="preserve">: Arbobesluit art. 4.21 — bij abnormale blootstelling (o.a. overschrijding grenswaarde, incidenten) worden werknemers onmiddellijk geïnformeerd, maatregelen genomen en de OR/PVT ingeschakeld; bij plan van aanpak rond kankerverwekkende stoffen is OR/PVT-betrokkenheid vereist (art. 4.13).</w:t>
      </w:r>
      <w:r>
        <w:t xml:space="preserve"> </w:t>
      </w:r>
      <w:r>
        <w:rPr>
          <w:b/>
          <w:bCs/>
        </w:rPr>
        <w:t xml:space="preserve">Bevinding</w:t>
      </w:r>
      <w:r>
        <w:t xml:space="preserve">: §4.3.3 en §4.5.2 bevatten een goede meldplicht aan de leidinggevende (</w:t>
      </w:r>
      <w:r>
        <w:t xml:space="preserve">“</w:t>
      </w:r>
      <w:r>
        <w:t xml:space="preserve">stop work and inform supervision</w:t>
      </w:r>
      <w:r>
        <w:t xml:space="preserve">”</w:t>
      </w:r>
      <w:r>
        <w:t xml:space="preserve">). Het formele kanaal naar OR/PVT (of PVT-equivalent offshore) en de diagnose-/onderzoeksstap na (mogelijke) overschrijding ontbreken.</w:t>
      </w:r>
      <w:r>
        <w:t xml:space="preserve"> </w:t>
      </w:r>
      <w:r>
        <w:rPr>
          <w:b/>
          <w:bCs/>
        </w:rPr>
        <w:t xml:space="preserve">Classificatie</w:t>
      </w:r>
      <w:r>
        <w:t xml:space="preserve">: P2 — deels aanwezig, onvolledig.</w:t>
      </w:r>
    </w:p>
    <w:bookmarkEnd w:id="28"/>
    <w:bookmarkStart w:id="29" w:name="b7-wettelijke-grenswaarde-conform"/>
    <w:p>
      <w:pPr>
        <w:pStyle w:val="Heading3"/>
      </w:pPr>
      <w:r>
        <w:t xml:space="preserve">B7 — Wettelijke grenswaarde (Conform)</w:t>
      </w:r>
    </w:p>
    <w:p>
      <w:pPr>
        <w:pStyle w:val="FirstParagraph"/>
      </w:pPr>
      <w:r>
        <w:rPr>
          <w:b/>
          <w:bCs/>
        </w:rPr>
        <w:t xml:space="preserve">Bevinding</w:t>
      </w:r>
      <w:r>
        <w:t xml:space="preserve">: §6 vermeldt de NL-grenswaarde 1 µg/m³ en het aanvullende streefrisiconiveau 0,01 µg/m³, plus het beginsel</w:t>
      </w:r>
      <w:r>
        <w:t xml:space="preserve"> </w:t>
      </w:r>
      <w:r>
        <w:t xml:space="preserve">“</w:t>
      </w:r>
      <w:r>
        <w:t xml:space="preserve">most stringent requirement shall be followed</w:t>
      </w:r>
      <w:r>
        <w:t xml:space="preserve">”</w:t>
      </w:r>
      <w:r>
        <w:t xml:space="preserve"> </w:t>
      </w:r>
      <w:r>
        <w:t xml:space="preserve">en de Belgische OEL (0,005 mg/m³). Dit is feitelijk juist conform de Nederlandse wettelijke grenswaarde [AI-77 §3].</w:t>
      </w:r>
      <w:r>
        <w:t xml:space="preserve"> </w:t>
      </w:r>
      <w:r>
        <w:rPr>
          <w:b/>
          <w:bCs/>
        </w:rPr>
        <w:t xml:space="preserve">Classificatie</w:t>
      </w:r>
      <w:r>
        <w:t xml:space="preserve">: Conform — kanttekening: de grenswaarde wordt nergens in de procedure zelf gebruikt als toetskader of norm voor taakspecifieke beheersmaatregelen (raakt B1).</w:t>
      </w:r>
    </w:p>
    <w:bookmarkEnd w:id="29"/>
    <w:bookmarkStart w:id="30" w:name="b8-reach-bijlage-xiv-p2"/>
    <w:p>
      <w:pPr>
        <w:pStyle w:val="Heading3"/>
      </w:pPr>
      <w:r>
        <w:t xml:space="preserve">B8 — REACH Bijlage XIV (P2)</w:t>
      </w:r>
    </w:p>
    <w:p>
      <w:pPr>
        <w:pStyle w:val="FirstParagraph"/>
      </w:pPr>
      <w:r>
        <w:rPr>
          <w:b/>
          <w:bCs/>
        </w:rPr>
        <w:t xml:space="preserve">Eis</w:t>
      </w:r>
      <w:r>
        <w:t xml:space="preserve">: REACH Verordening (EG) 1907/2006, Bijlage XIV — chroomtrioxide en diverse zuurchromaten/zichromaten zijn opgenomen op de autorisatielijst (</w:t>
      </w:r>
      <w:r>
        <w:t xml:space="preserve">“</w:t>
      </w:r>
      <w:r>
        <w:t xml:space="preserve">sunset dates</w:t>
      </w:r>
      <w:r>
        <w:t xml:space="preserve">”</w:t>
      </w:r>
      <w:r>
        <w:t xml:space="preserve"> </w:t>
      </w:r>
      <w:r>
        <w:t xml:space="preserve">passeerden in 2017/2019); gebruik zonder autorisatie is verboden.</w:t>
      </w:r>
      <w:r>
        <w:t xml:space="preserve"> </w:t>
      </w:r>
      <w:r>
        <w:rPr>
          <w:b/>
          <w:bCs/>
        </w:rPr>
        <w:t xml:space="preserve">Bevinding</w:t>
      </w:r>
      <w:r>
        <w:t xml:space="preserve">: Niet in de referentielijst (§6) opgenomen. Voor puur verwijderingswerk is de REACH-autorisatieverplichting beperkt relevant (geen doelbewust gebruik/marketing van Cr(VI)-stoffen), maar bij bijkomstig gebruik van Cr(VI)-houdende producten (bijv. touch-up primers, passiveringsmiddelen tijdens voorbereidings-/reparatiewerkzaamheden) is de autorisatie- respectievelijk vervangingscheck relevant. Minimaal verdient een toelichting in §6 plaats.</w:t>
      </w:r>
      <w:r>
        <w:t xml:space="preserve"> </w:t>
      </w:r>
      <w:r>
        <w:rPr>
          <w:b/>
          <w:bCs/>
        </w:rPr>
        <w:t xml:space="preserve">Classificatie</w:t>
      </w:r>
      <w:r>
        <w:t xml:space="preserve">: P2 — referentie en afbakening ontbreken.</w:t>
      </w:r>
    </w:p>
    <w:bookmarkEnd w:id="30"/>
    <w:bookmarkStart w:id="31" w:name="X3cffd7ce4d58056c5f74e617fa586966281b0d6"/>
    <w:p>
      <w:pPr>
        <w:pStyle w:val="Heading3"/>
      </w:pPr>
      <w:r>
        <w:t xml:space="preserve">B9 — Afvalstroom en afvoer (Bal / Wet milieubeheer) (P2)</w:t>
      </w:r>
    </w:p>
    <w:p>
      <w:pPr>
        <w:pStyle w:val="FirstParagraph"/>
      </w:pPr>
      <w:r>
        <w:rPr>
          <w:b/>
          <w:bCs/>
        </w:rPr>
        <w:t xml:space="preserve">Eis</w:t>
      </w:r>
      <w:r>
        <w:t xml:space="preserve">: Besluit activiteiten leefomgeving (Bal) en Wet milieubeheer/Landelijk Afvalbeheerplan — gevaarlijk afval (Cr(VI)-gecontamineerd PBM, reinigingsresten, filters) vereist afvalstroomherkenning, gescheiden inzameling en gecontroleerde afvoer/verwerking door erkende afzender-ontvangers.</w:t>
      </w:r>
      <w:r>
        <w:t xml:space="preserve"> </w:t>
      </w:r>
      <w:r>
        <w:rPr>
          <w:b/>
          <w:bCs/>
        </w:rPr>
        <w:t xml:space="preserve">Bevinding</w:t>
      </w:r>
      <w:r>
        <w:t xml:space="preserve">: §4.5.1–4.5.3 verplicht disposie</w:t>
      </w:r>
      <w:r>
        <w:t xml:space="preserve"> </w:t>
      </w:r>
      <w:r>
        <w:t xml:space="preserve">“</w:t>
      </w:r>
      <w:r>
        <w:t xml:space="preserve">as hazardous or chemical waste in accordance with applicable waste management requirements</w:t>
      </w:r>
      <w:r>
        <w:t xml:space="preserve">”</w:t>
      </w:r>
      <w:r>
        <w:t xml:space="preserve">. Dat is een juist maar generiek beginsel; er is geen afvalstroomklassering, geen registratie/afgiftebewijs-regeling, geen verpakkings-/etiketteringseis (offshore inclusief zeetransport) en geen verantwoordelijke voor afvalstroombeheer benoemd.</w:t>
      </w:r>
      <w:r>
        <w:t xml:space="preserve"> </w:t>
      </w:r>
      <w:r>
        <w:rPr>
          <w:b/>
          <w:bCs/>
        </w:rPr>
        <w:t xml:space="preserve">Classificatie</w:t>
      </w:r>
      <w:r>
        <w:t xml:space="preserve">: P2 — aanwezig als beginsel, niet uitvoerbaar uitgewerkt.</w:t>
      </w:r>
    </w:p>
    <w:bookmarkEnd w:id="31"/>
    <w:bookmarkStart w:id="32" w:name="b10-arbo-informatiebladen-p2"/>
    <w:p>
      <w:pPr>
        <w:pStyle w:val="Heading3"/>
      </w:pPr>
      <w:r>
        <w:t xml:space="preserve">B10 — Arbo-Informatiebladen (P2)</w:t>
      </w:r>
    </w:p>
    <w:p>
      <w:pPr>
        <w:pStyle w:val="FirstParagraph"/>
      </w:pPr>
      <w:r>
        <w:rPr>
          <w:b/>
          <w:bCs/>
        </w:rPr>
        <w:t xml:space="preserve">Eis</w:t>
      </w:r>
      <w:r>
        <w:t xml:space="preserve">: AI-blad 67 (kankerverwekkende stoffen — bedoeld als implementatiekader van Arbobesluit afd. 3), AI-blad 31 (gezondheidsrisico’s gevaarlijke stoffen), AI-blad 18 (PBM) en AI-blad 77 (chroom-6).</w:t>
      </w:r>
      <w:r>
        <w:t xml:space="preserve"> </w:t>
      </w:r>
      <w:r>
        <w:rPr>
          <w:b/>
          <w:bCs/>
        </w:rPr>
        <w:t xml:space="preserve">Bevinding</w:t>
      </w:r>
      <w:r>
        <w:t xml:space="preserve">: Niet opgenomen in §6. De inhoud van het brondocument is inhoudelijk grotendeels congruent met AI-77 (gezondheidseffecten, routes, beheersmaatregelen), maar door de ontbrekende referenties is de afstemming niet aantoonbaar en mist de redacteur het toetsingskader voor toekomstige revisies.</w:t>
      </w:r>
      <w:r>
        <w:t xml:space="preserve"> </w:t>
      </w:r>
      <w:r>
        <w:rPr>
          <w:b/>
          <w:bCs/>
        </w:rPr>
        <w:t xml:space="preserve">Classificatie</w:t>
      </w:r>
      <w:r>
        <w:t xml:space="preserve">: P2.</w:t>
      </w:r>
    </w:p>
    <w:bookmarkEnd w:id="32"/>
    <w:bookmarkStart w:id="33" w:name="b11-beheersregime-chroom-6-p2"/>
    <w:p>
      <w:pPr>
        <w:pStyle w:val="Heading3"/>
      </w:pPr>
      <w:r>
        <w:t xml:space="preserve">B11 — Beheersregime Chroom-6 (P2)</w:t>
      </w:r>
    </w:p>
    <w:p>
      <w:pPr>
        <w:pStyle w:val="FirstParagraph"/>
      </w:pPr>
      <w:r>
        <w:rPr>
          <w:b/>
          <w:bCs/>
        </w:rPr>
        <w:t xml:space="preserve">Bevinding</w:t>
      </w:r>
      <w:r>
        <w:t xml:space="preserve">: §6 noemt</w:t>
      </w:r>
      <w:r>
        <w:t xml:space="preserve"> </w:t>
      </w:r>
      <w:r>
        <w:t xml:space="preserve">“</w:t>
      </w:r>
      <w:r>
        <w:t xml:space="preserve">Dutch</w:t>
      </w:r>
      <w:r>
        <w:t xml:space="preserve"> </w:t>
      </w:r>
      <w:r>
        <w:t xml:space="preserve">‘</w:t>
      </w:r>
      <w:r>
        <w:t xml:space="preserve">Beheersregime Chroom-6</w:t>
      </w:r>
      <w:r>
        <w:t xml:space="preserve">’</w:t>
      </w:r>
      <w:r>
        <w:t xml:space="preserve">”</w:t>
      </w:r>
      <w:r>
        <w:t xml:space="preserve"> </w:t>
      </w:r>
      <w:r>
        <w:t xml:space="preserve">in de referentielijst — juist en relevant (branchekader van RWS, Defensie, ProRail, RVB met gestandaardiseerde beheersmaatregelen). Het regime wordt echter niet operationeel vertaald (geen beheersmaatregelenmatrix, geen koppeling aan de §§4.5.1–4.5.3).</w:t>
      </w:r>
      <w:r>
        <w:t xml:space="preserve"> </w:t>
      </w:r>
      <w:r>
        <w:rPr>
          <w:b/>
          <w:bCs/>
        </w:rPr>
        <w:t xml:space="preserve">Classificatie</w:t>
      </w:r>
      <w:r>
        <w:t xml:space="preserve">: P2 — gerefereerd, niet uitgewerkt.</w:t>
      </w:r>
    </w:p>
    <w:bookmarkEnd w:id="33"/>
    <w:bookmarkStart w:id="34" w:name="Xde6b6d56a9af7f80d3bff8e0cb07625a585cbaf"/>
    <w:p>
      <w:pPr>
        <w:pStyle w:val="Heading3"/>
      </w:pPr>
      <w:r>
        <w:t xml:space="preserve">B12 — 5M-methode / hiërarchie van beheersmaatregelen (P2)</w:t>
      </w:r>
    </w:p>
    <w:p>
      <w:pPr>
        <w:pStyle w:val="FirstParagraph"/>
      </w:pPr>
      <w:r>
        <w:rPr>
          <w:b/>
          <w:bCs/>
        </w:rPr>
        <w:t xml:space="preserve">Bevinding</w:t>
      </w:r>
      <w:r>
        <w:t xml:space="preserve">: §4.5 beschrijft expliciet</w:t>
      </w:r>
      <w:r>
        <w:t xml:space="preserve"> </w:t>
      </w:r>
      <w:r>
        <w:t xml:space="preserve">“</w:t>
      </w:r>
      <w:r>
        <w:t xml:space="preserve">hierarchy of controls</w:t>
      </w:r>
      <w:r>
        <w:t xml:space="preserve">”</w:t>
      </w:r>
      <w:r>
        <w:t xml:space="preserve">: minimaliseren verstoring, beperken verspreiding, toegangsbeperking, ventilatie/extractie/natte methoden, en pas daarna PBM — dit sluit aan bij de MAC/5M-methodiek. Ontbrekend: de hoogste trede(s) — substitutie/bronmaatregelen en organisatorische maatregelen (taakroulatie/tijdsbeperking blootstelling) — worden niet als vast onderdeel van de afweging gedocumenteerd (zie ook B4). Voor decommissioning is substitutie van de coating geen optie; dat moet dan als onderbouwing zijn vastgelegd, en overige bronmaatregelen (koude technieken, extractie) moeten aantoonbaar zijn afgewogen.</w:t>
      </w:r>
      <w:r>
        <w:t xml:space="preserve"> </w:t>
      </w:r>
      <w:r>
        <w:rPr>
          <w:b/>
          <w:bCs/>
        </w:rPr>
        <w:t xml:space="preserve">Classificatie</w:t>
      </w:r>
      <w:r>
        <w:t xml:space="preserve">: P2 — hiërarchie grotendeels gevolgd, hoogste tredes niet gedocumenteerd.</w:t>
      </w:r>
    </w:p>
    <w:bookmarkEnd w:id="34"/>
    <w:bookmarkStart w:id="35" w:name="b14-documentbeheer-p2"/>
    <w:p>
      <w:pPr>
        <w:pStyle w:val="Heading3"/>
      </w:pPr>
      <w:r>
        <w:t xml:space="preserve">B14 — Documentbeheer (P2)</w:t>
      </w:r>
    </w:p>
    <w:p>
      <w:pPr>
        <w:pStyle w:val="FirstParagraph"/>
      </w:pPr>
      <w:r>
        <w:rPr>
          <w:b/>
          <w:bCs/>
        </w:rPr>
        <w:t xml:space="preserve">Bevinding</w:t>
      </w:r>
      <w:r>
        <w:t xml:space="preserve">: zie §0.2. Daarnaast:</w:t>
      </w:r>
      <w:r>
        <w:t xml:space="preserve"> </w:t>
      </w:r>
      <w:r>
        <w:t xml:space="preserve">“</w:t>
      </w:r>
      <w:r>
        <w:t xml:space="preserve">Hoondert Study</w:t>
      </w:r>
      <w:r>
        <w:t xml:space="preserve">”</w:t>
      </w:r>
      <w:r>
        <w:t xml:space="preserve"> </w:t>
      </w:r>
      <w:r>
        <w:t xml:space="preserve">(§6, Ref. [2]) is als interne referentie zonder datum/versie opgenomen; de revision log bevat geen wijzigingsbeschrijving. Voor een</w:t>
      </w:r>
      <w:r>
        <w:t xml:space="preserve"> </w:t>
      </w:r>
      <w:r>
        <w:t xml:space="preserve">“</w:t>
      </w:r>
      <w:r>
        <w:t xml:space="preserve">Issued for Implementation</w:t>
      </w:r>
      <w:r>
        <w:t xml:space="preserve">”</w:t>
      </w:r>
      <w:r>
        <w:t xml:space="preserve">-procedure is dit een beheerskundige non-conformiteit.</w:t>
      </w:r>
      <w:r>
        <w:t xml:space="preserve"> </w:t>
      </w:r>
      <w:r>
        <w:rPr>
          <w:b/>
          <w:bCs/>
        </w:rPr>
        <w:t xml:space="preserve">Classificatie</w:t>
      </w:r>
      <w:r>
        <w:t xml:space="preserve">: P2.</w:t>
      </w:r>
    </w:p>
    <w:bookmarkEnd w:id="35"/>
    <w:bookmarkStart w:id="36" w:name="b15b18-conforme-onderdelen-samengevat"/>
    <w:p>
      <w:pPr>
        <w:pStyle w:val="Heading3"/>
      </w:pPr>
      <w:r>
        <w:t xml:space="preserve">B15–B18 — Conforme onderdelen (samengevat)</w:t>
      </w:r>
    </w:p>
    <w:p>
      <w:pPr>
        <w:pStyle w:val="Compact"/>
        <w:numPr>
          <w:ilvl w:val="0"/>
          <w:numId w:val="1002"/>
        </w:numPr>
      </w:pPr>
      <w:r>
        <w:rPr>
          <w:b/>
          <w:bCs/>
        </w:rPr>
        <w:t xml:space="preserve">B15 Gevareninformatie</w:t>
      </w:r>
      <w:r>
        <w:t xml:space="preserve"> </w:t>
      </w:r>
      <w:r>
        <w:t xml:space="preserve">(§4.1–4.3): stofeigenschappen, bronnen (coatings, rvs-lassen, verduurzaamd hout, cement), blootstellingsroutes en gezondheidseffecten (longkanker, neusholtekanker, neusseptumperforatie, COPD, asthma, dermatitis; vermoedelijk maag- en strottenhoofdkanker) — feitelijk consistent met AI-77.</w:t>
      </w:r>
    </w:p>
    <w:p>
      <w:pPr>
        <w:pStyle w:val="Compact"/>
        <w:numPr>
          <w:ilvl w:val="0"/>
          <w:numId w:val="1002"/>
        </w:numPr>
      </w:pPr>
      <w:r>
        <w:rPr>
          <w:b/>
          <w:bCs/>
        </w:rPr>
        <w:t xml:space="preserve">B16 Identificatie &amp; marking</w:t>
      </w:r>
      <w:r>
        <w:t xml:space="preserve"> </w:t>
      </w:r>
      <w:r>
        <w:t xml:space="preserve">(§4.4): third-party surveys, markering (verf, borden,</w:t>
      </w:r>
      <w:r>
        <w:t xml:space="preserve"> </w:t>
      </w:r>
      <w:r>
        <w:t xml:space="preserve">“</w:t>
      </w:r>
      <w:r>
        <w:t xml:space="preserve">Cr6</w:t>
      </w:r>
      <w:r>
        <w:t xml:space="preserve">”</w:t>
      </w:r>
      <w:r>
        <w:t xml:space="preserve">-spray),</w:t>
      </w:r>
      <w:r>
        <w:t xml:space="preserve"> </w:t>
      </w:r>
      <w:r>
        <w:t xml:space="preserve">“</w:t>
      </w:r>
      <w:r>
        <w:t xml:space="preserve">treat as contaminated until confirmed otherwise</w:t>
      </w:r>
      <w:r>
        <w:t xml:space="preserve">”</w:t>
      </w:r>
      <w:r>
        <w:t xml:space="preserve">, verplichte koppeling aan TRA/JSA + PTW vóór werk — goed.</w:t>
      </w:r>
    </w:p>
    <w:p>
      <w:pPr>
        <w:pStyle w:val="Compact"/>
        <w:numPr>
          <w:ilvl w:val="0"/>
          <w:numId w:val="1002"/>
        </w:numPr>
      </w:pPr>
      <w:r>
        <w:rPr>
          <w:b/>
          <w:bCs/>
        </w:rPr>
        <w:t xml:space="preserve">B17 Hygiëne/PBM</w:t>
      </w:r>
      <w:r>
        <w:t xml:space="preserve"> </w:t>
      </w:r>
      <w:r>
        <w:t xml:space="preserve">(§4.5.1–4.5.3): eet-/rookverbod in werkgebied, wassen/douchen, decontaminatiestations, 5 m restrictiezone (of groter volgens TRA), volgelaatsmasker met P3 (≥99,95% filtratie), filterinspectie/vervanging, verbod perslucht (geminimaliseerd), stofzuigsystemen met filtratie, afvoer PBM als gevaarlijk afval — concreet en uitvoerbaar per activiteit.</w:t>
      </w:r>
    </w:p>
    <w:p>
      <w:pPr>
        <w:pStyle w:val="Compact"/>
        <w:numPr>
          <w:ilvl w:val="0"/>
          <w:numId w:val="1002"/>
        </w:numPr>
      </w:pPr>
      <w:r>
        <w:rPr>
          <w:b/>
          <w:bCs/>
        </w:rPr>
        <w:t xml:space="preserve">B18 Rollen</w:t>
      </w:r>
      <w:r>
        <w:t xml:space="preserve"> </w:t>
      </w:r>
      <w:r>
        <w:t xml:space="preserve">(§3): Management, QHSE Manager, OIM/Site Manager, Supervisors, Personnel, Contractors — compleet met stop-work-bevoegdheid op werkvloer.</w:t>
      </w:r>
    </w:p>
    <w:p>
      <w:r>
        <w:pict>
          <v:rect style="width:0;height:1.5pt" o:hralign="center" o:hrstd="t" o:hr="t"/>
        </w:pict>
      </w:r>
    </w:p>
    <w:bookmarkEnd w:id="36"/>
    <w:bookmarkEnd w:id="37"/>
    <w:bookmarkStart w:id="38" w:name="herzieningsvoorstellen-voor-de-redacteur"/>
    <w:p>
      <w:pPr>
        <w:pStyle w:val="Heading2"/>
      </w:pPr>
      <w:r>
        <w:t xml:space="preserve">4. Herzieningsvoorstellen (voor de redacteur)</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w:t>
            </w:r>
          </w:p>
        </w:tc>
        <w:tc>
          <w:tcPr/>
          <w:p>
            <w:pPr>
              <w:pStyle w:val="Compact"/>
              <w:jc w:val="left"/>
            </w:pPr>
            <w:r>
              <w:t xml:space="preserve">Voorstel</w:t>
            </w:r>
          </w:p>
        </w:tc>
        <w:tc>
          <w:tcPr/>
          <w:p>
            <w:pPr>
              <w:pStyle w:val="Compact"/>
              <w:jc w:val="left"/>
            </w:pPr>
            <w:r>
              <w:t xml:space="preserve">Kader</w:t>
            </w:r>
          </w:p>
        </w:tc>
        <w:tc>
          <w:tcPr/>
          <w:p>
            <w:pPr>
              <w:pStyle w:val="Compact"/>
              <w:jc w:val="left"/>
            </w:pPr>
            <w:r>
              <w:t xml:space="preserve">Prioriteit</w:t>
            </w:r>
          </w:p>
        </w:tc>
      </w:tr>
      <w:tr>
        <w:tc>
          <w:tcPr/>
          <w:p>
            <w:pPr>
              <w:pStyle w:val="Compact"/>
              <w:jc w:val="left"/>
            </w:pPr>
            <w:r>
              <w:t xml:space="preserve">H1</w:t>
            </w:r>
          </w:p>
        </w:tc>
        <w:tc>
          <w:tcPr/>
          <w:p>
            <w:pPr>
              <w:pStyle w:val="Compact"/>
              <w:jc w:val="left"/>
            </w:pPr>
            <w:r>
              <w:t xml:space="preserve">Voeg een nieuw hoofdstuk</w:t>
            </w:r>
            <w:r>
              <w:t xml:space="preserve"> </w:t>
            </w:r>
            <w:r>
              <w:t xml:space="preserve">“</w:t>
            </w:r>
            <w:r>
              <w:t xml:space="preserve">Exposure Assessment &amp; Monitoring</w:t>
            </w:r>
            <w:r>
              <w:t xml:space="preserve">”</w:t>
            </w:r>
            <w:r>
              <w:t xml:space="preserve"> </w:t>
            </w:r>
            <w:r>
              <w:t xml:space="preserve">toe: meetstrategie conform NEN-EN 689 (baseline- en taakmetingen vóór aanvang, bemonsteringsduur conform NEN-EN 482, toetsing aan 1 µg/m³, hermeetbij overschrijding of wijziging werkwijze, verantwoordelijke: QHSE Manager).</w:t>
            </w:r>
          </w:p>
        </w:tc>
        <w:tc>
          <w:tcPr/>
          <w:p>
            <w:pPr>
              <w:pStyle w:val="Compact"/>
              <w:jc w:val="left"/>
            </w:pPr>
            <w:r>
              <w:t xml:space="preserve">Arbobesluit art. 4.2 lid 4; NEN-EN 689/482</w:t>
            </w:r>
          </w:p>
        </w:tc>
        <w:tc>
          <w:tcPr/>
          <w:p>
            <w:pPr>
              <w:pStyle w:val="Compact"/>
              <w:jc w:val="left"/>
            </w:pPr>
            <w:r>
              <w:t xml:space="preserve">P1</w:t>
            </w:r>
          </w:p>
        </w:tc>
      </w:tr>
      <w:tr>
        <w:tc>
          <w:tcPr/>
          <w:p>
            <w:pPr>
              <w:pStyle w:val="Compact"/>
              <w:jc w:val="left"/>
            </w:pPr>
            <w:r>
              <w:t xml:space="preserve">H2</w:t>
            </w:r>
          </w:p>
        </w:tc>
        <w:tc>
          <w:tcPr/>
          <w:p>
            <w:pPr>
              <w:pStyle w:val="Compact"/>
              <w:jc w:val="left"/>
            </w:pPr>
            <w:r>
              <w:t xml:space="preserve">Voeg een paragraaf</w:t>
            </w:r>
            <w:r>
              <w:t xml:space="preserve"> </w:t>
            </w:r>
            <w:r>
              <w:t xml:space="preserve">“</w:t>
            </w:r>
            <w:r>
              <w:t xml:space="preserve">Health Surveillance</w:t>
            </w:r>
            <w:r>
              <w:t xml:space="preserve">”</w:t>
            </w:r>
            <w:r>
              <w:t xml:space="preserve"> </w:t>
            </w:r>
            <w:r>
              <w:t xml:space="preserve">toe: recht op (P)AGO voor alle aan Cr(VI) blootgestelde (inclusief mogelijkerwijs blootgestelde) werknemers vóór aanvang en periodiek; rol bedrijfsarts opnemen in §3.</w:t>
            </w:r>
          </w:p>
        </w:tc>
        <w:tc>
          <w:tcPr/>
          <w:p>
            <w:pPr>
              <w:pStyle w:val="Compact"/>
              <w:jc w:val="left"/>
            </w:pPr>
            <w:r>
              <w:t xml:space="preserve">Arbobesluit art. 4.10a</w:t>
            </w:r>
          </w:p>
        </w:tc>
        <w:tc>
          <w:tcPr/>
          <w:p>
            <w:pPr>
              <w:pStyle w:val="Compact"/>
              <w:jc w:val="left"/>
            </w:pPr>
            <w:r>
              <w:t xml:space="preserve">P1</w:t>
            </w:r>
          </w:p>
        </w:tc>
      </w:tr>
      <w:tr>
        <w:tc>
          <w:tcPr/>
          <w:p>
            <w:pPr>
              <w:pStyle w:val="Compact"/>
              <w:jc w:val="left"/>
            </w:pPr>
            <w:r>
              <w:t xml:space="preserve">H3</w:t>
            </w:r>
          </w:p>
        </w:tc>
        <w:tc>
          <w:tcPr/>
          <w:p>
            <w:pPr>
              <w:pStyle w:val="Compact"/>
              <w:jc w:val="left"/>
            </w:pPr>
            <w:r>
              <w:t xml:space="preserve">Leg een bewaar- en overdrachtsregeling vast: blootstellingsregistraties, meetlogboeken en de lijst van H4 gedurende 40 jaar na laatste blootstelling bewaren (ook na projecteinde en bij uittocht van personeel).</w:t>
            </w:r>
          </w:p>
        </w:tc>
        <w:tc>
          <w:tcPr/>
          <w:p>
            <w:pPr>
              <w:pStyle w:val="Compact"/>
              <w:jc w:val="left"/>
            </w:pPr>
            <w:r>
              <w:t xml:space="preserve">Arbobesluit art. 4.10c</w:t>
            </w:r>
          </w:p>
        </w:tc>
        <w:tc>
          <w:tcPr/>
          <w:p>
            <w:pPr>
              <w:pStyle w:val="Compact"/>
              <w:jc w:val="left"/>
            </w:pPr>
            <w:r>
              <w:t xml:space="preserve">P1</w:t>
            </w:r>
          </w:p>
        </w:tc>
      </w:tr>
      <w:tr>
        <w:tc>
          <w:tcPr/>
          <w:p>
            <w:pPr>
              <w:pStyle w:val="Compact"/>
              <w:jc w:val="left"/>
            </w:pPr>
            <w:r>
              <w:t xml:space="preserve">H4</w:t>
            </w:r>
          </w:p>
        </w:tc>
        <w:tc>
          <w:tcPr/>
          <w:p>
            <w:pPr>
              <w:pStyle w:val="Compact"/>
              <w:jc w:val="left"/>
            </w:pPr>
            <w:r>
              <w:t xml:space="preserve">Voeg een registratieparagraaf</w:t>
            </w:r>
            <w:r>
              <w:t xml:space="preserve"> </w:t>
            </w:r>
            <w:r>
              <w:t xml:space="preserve">“</w:t>
            </w:r>
            <w:r>
              <w:t xml:space="preserve">Exposure Register</w:t>
            </w:r>
            <w:r>
              <w:t xml:space="preserve">”</w:t>
            </w:r>
            <w:r>
              <w:t xml:space="preserve"> </w:t>
            </w:r>
            <w:r>
              <w:t xml:space="preserve">toe: lijst van (mogelijk) blootgestelde werknemers en subcontractors met aard, mate en duur van blootstelling; inzage- en afschriftrecht; eigenaar: QHSE Manager.</w:t>
            </w:r>
          </w:p>
        </w:tc>
        <w:tc>
          <w:tcPr/>
          <w:p>
            <w:pPr>
              <w:pStyle w:val="Compact"/>
              <w:jc w:val="left"/>
            </w:pPr>
            <w:r>
              <w:t xml:space="preserve">Arbobesluit art. 4.15; AI-77 §6.1.3</w:t>
            </w:r>
          </w:p>
        </w:tc>
        <w:tc>
          <w:tcPr/>
          <w:p>
            <w:pPr>
              <w:pStyle w:val="Compact"/>
              <w:jc w:val="left"/>
            </w:pPr>
            <w:r>
              <w:t xml:space="preserve">P1</w:t>
            </w:r>
          </w:p>
        </w:tc>
      </w:tr>
      <w:tr>
        <w:tc>
          <w:tcPr/>
          <w:p>
            <w:pPr>
              <w:pStyle w:val="Compact"/>
              <w:jc w:val="left"/>
            </w:pPr>
            <w:r>
              <w:t xml:space="preserve">H5</w:t>
            </w:r>
          </w:p>
        </w:tc>
        <w:tc>
          <w:tcPr/>
          <w:p>
            <w:pPr>
              <w:pStyle w:val="Compact"/>
              <w:jc w:val="left"/>
            </w:pPr>
            <w:r>
              <w:t xml:space="preserve">Maak de RI&amp;E-koppeling expliciet: verwijzing naar en eis dat de project-RI&amp;E de elementen aard/mate/duur, hoeveelheden, aantal betrokkenen en arbeidsvorm bevat; documenteer de vervangings-/bronmaatregelafweging (waaronder de keuze koude vs. thermische snijtechnieken) met onderbouwing.</w:t>
            </w:r>
          </w:p>
        </w:tc>
        <w:tc>
          <w:tcPr/>
          <w:p>
            <w:pPr>
              <w:pStyle w:val="Compact"/>
              <w:jc w:val="left"/>
            </w:pPr>
            <w:r>
              <w:t xml:space="preserve">Arbobesluit art. 4.13 i.c.m. 4.2 lid 1; AI-77</w:t>
            </w:r>
          </w:p>
        </w:tc>
        <w:tc>
          <w:tcPr/>
          <w:p>
            <w:pPr>
              <w:pStyle w:val="Compact"/>
              <w:jc w:val="left"/>
            </w:pPr>
            <w:r>
              <w:t xml:space="preserve">P1</w:t>
            </w:r>
          </w:p>
        </w:tc>
      </w:tr>
      <w:tr>
        <w:tc>
          <w:tcPr/>
          <w:p>
            <w:pPr>
              <w:pStyle w:val="Compact"/>
              <w:jc w:val="left"/>
            </w:pPr>
            <w:r>
              <w:t xml:space="preserve">H6</w:t>
            </w:r>
          </w:p>
        </w:tc>
        <w:tc>
          <w:tcPr/>
          <w:p>
            <w:pPr>
              <w:pStyle w:val="Compact"/>
              <w:jc w:val="left"/>
            </w:pPr>
            <w:r>
              <w:t xml:space="preserve">Breid §4.3.3/§4.5.2 uit met een calamiteiten-/abnormale-blootstellingsprotocol: onmiddellijke informatieverplichting aan betrokken werknemers, onderzoek naar oorzaak, en informering van OR/PVT (of offshore PVT-equivalent).</w:t>
            </w:r>
          </w:p>
        </w:tc>
        <w:tc>
          <w:tcPr/>
          <w:p>
            <w:pPr>
              <w:pStyle w:val="Compact"/>
              <w:jc w:val="left"/>
            </w:pPr>
            <w:r>
              <w:t xml:space="preserve">Arbobesluit art. 4.21</w:t>
            </w:r>
          </w:p>
        </w:tc>
        <w:tc>
          <w:tcPr/>
          <w:p>
            <w:pPr>
              <w:pStyle w:val="Compact"/>
              <w:jc w:val="left"/>
            </w:pPr>
            <w:r>
              <w:t xml:space="preserve">P2</w:t>
            </w:r>
          </w:p>
        </w:tc>
      </w:tr>
      <w:tr>
        <w:tc>
          <w:tcPr/>
          <w:p>
            <w:pPr>
              <w:pStyle w:val="Compact"/>
              <w:jc w:val="left"/>
            </w:pPr>
            <w:r>
              <w:t xml:space="preserve">H7</w:t>
            </w:r>
          </w:p>
        </w:tc>
        <w:tc>
          <w:tcPr/>
          <w:p>
            <w:pPr>
              <w:pStyle w:val="Compact"/>
              <w:jc w:val="left"/>
            </w:pPr>
            <w:r>
              <w:t xml:space="preserve">Neem in §6 op: REACH Bijlage XIV (autorisatie Cr(VI)-verbindingen) met afbakening wanneer dit voor KOO-werkzaamheden geldt (gebruik van Cr(VI)-houdende producten).</w:t>
            </w:r>
          </w:p>
        </w:tc>
        <w:tc>
          <w:tcPr/>
          <w:p>
            <w:pPr>
              <w:pStyle w:val="Compact"/>
              <w:jc w:val="left"/>
            </w:pPr>
            <w:r>
              <w:t xml:space="preserve">REACH (EG) 1907/2006, Bijlage XIV</w:t>
            </w:r>
          </w:p>
        </w:tc>
        <w:tc>
          <w:tcPr/>
          <w:p>
            <w:pPr>
              <w:pStyle w:val="Compact"/>
              <w:jc w:val="left"/>
            </w:pPr>
            <w:r>
              <w:t xml:space="preserve">P2</w:t>
            </w:r>
          </w:p>
        </w:tc>
      </w:tr>
      <w:tr>
        <w:tc>
          <w:tcPr/>
          <w:p>
            <w:pPr>
              <w:pStyle w:val="Compact"/>
              <w:jc w:val="left"/>
            </w:pPr>
            <w:r>
              <w:t xml:space="preserve">H8</w:t>
            </w:r>
          </w:p>
        </w:tc>
        <w:tc>
          <w:tcPr/>
          <w:p>
            <w:pPr>
              <w:pStyle w:val="Compact"/>
              <w:jc w:val="left"/>
            </w:pPr>
            <w:r>
              <w:t xml:space="preserve">Werk de afvalparagraaf uit: afvalstroomklassering van Cr(VI)-gecontamineerd afval (PBM, filters, reinigingsresten), verpakkings-/etiketteringseisen, bewijslast (afgiftebewijzen) en verantwoordelijke; incl. zeetransport vanaf platform.</w:t>
            </w:r>
          </w:p>
        </w:tc>
        <w:tc>
          <w:tcPr/>
          <w:p>
            <w:pPr>
              <w:pStyle w:val="Compact"/>
              <w:jc w:val="left"/>
            </w:pPr>
            <w:r>
              <w:t xml:space="preserve">Bal</w:t>
            </w:r>
          </w:p>
        </w:tc>
        <w:tc>
          <w:tcPr/>
          <w:p>
            <w:pPr>
              <w:pStyle w:val="Compact"/>
            </w:pPr>
          </w:p>
        </w:tc>
      </w:tr>
      <w:tr>
        <w:tc>
          <w:tcPr/>
          <w:p>
            <w:pPr>
              <w:pStyle w:val="Compact"/>
              <w:jc w:val="left"/>
            </w:pPr>
            <w:r>
              <w:t xml:space="preserve">; Wet milieubeheer / LAP</w:t>
            </w:r>
          </w:p>
        </w:tc>
        <w:tc>
          <w:tcPr/>
          <w:p>
            <w:pPr>
              <w:pStyle w:val="Compact"/>
              <w:jc w:val="left"/>
            </w:pPr>
            <w:r>
              <w:t xml:space="preserve">P2</w:t>
            </w:r>
          </w:p>
        </w:tc>
        <w:tc>
          <w:tcPr/>
          <w:p>
            <w:pPr>
              <w:pStyle w:val="Compact"/>
            </w:pPr>
          </w:p>
        </w:tc>
        <w:tc>
          <w:tcPr/>
          <w:p>
            <w:pPr>
              <w:pStyle w:val="Compact"/>
            </w:pPr>
          </w:p>
        </w:tc>
      </w:tr>
      <w:tr>
        <w:tc>
          <w:tcPr/>
          <w:p>
            <w:pPr>
              <w:pStyle w:val="Compact"/>
              <w:jc w:val="left"/>
            </w:pPr>
            <w:r>
              <w:t xml:space="preserve">H9</w:t>
            </w:r>
          </w:p>
        </w:tc>
        <w:tc>
          <w:tcPr/>
          <w:p>
            <w:pPr>
              <w:pStyle w:val="Compact"/>
              <w:jc w:val="left"/>
            </w:pPr>
            <w:r>
              <w:t xml:space="preserve">Vul §6 aan met de AI-bladen: AI-blad 67 (kankerverwekkende stoffen), AI-blad 31 (gezondheidsrisico’s gevaarlijke stoffen), AI-blad 18 (PBM) en AI-blad 77 (chroom-6) als toetsingskader voor revisies.</w:t>
            </w:r>
          </w:p>
        </w:tc>
        <w:tc>
          <w:tcPr/>
          <w:p>
            <w:pPr>
              <w:pStyle w:val="Compact"/>
              <w:jc w:val="left"/>
            </w:pPr>
            <w:r>
              <w:t xml:space="preserve">Arbo-Informatiebladen SZW</w:t>
            </w:r>
          </w:p>
        </w:tc>
        <w:tc>
          <w:tcPr/>
          <w:p>
            <w:pPr>
              <w:pStyle w:val="Compact"/>
              <w:jc w:val="left"/>
            </w:pPr>
            <w:r>
              <w:t xml:space="preserve">P2</w:t>
            </w:r>
          </w:p>
        </w:tc>
      </w:tr>
      <w:tr>
        <w:tc>
          <w:tcPr/>
          <w:p>
            <w:pPr>
              <w:pStyle w:val="Compact"/>
              <w:jc w:val="left"/>
            </w:pPr>
            <w:r>
              <w:t xml:space="preserve">H10</w:t>
            </w:r>
          </w:p>
        </w:tc>
        <w:tc>
          <w:tcPr/>
          <w:p>
            <w:pPr>
              <w:pStyle w:val="Compact"/>
              <w:jc w:val="left"/>
            </w:pPr>
            <w:r>
              <w:t xml:space="preserve">Vertaal het Beheersregime Chroom-6 naar een concrete beheersmaatregelenmatrix per activiteit (hot cutting, welding, cleaning) of verwijs per subparagraaf naar de betreffende regime-onderdelen.</w:t>
            </w:r>
          </w:p>
        </w:tc>
        <w:tc>
          <w:tcPr/>
          <w:p>
            <w:pPr>
              <w:pStyle w:val="Compact"/>
              <w:jc w:val="left"/>
            </w:pPr>
            <w:r>
              <w:t xml:space="preserve">Beheersregime Chroom-6 (RWS/Defensie/ProRail/RVB)</w:t>
            </w:r>
          </w:p>
        </w:tc>
        <w:tc>
          <w:tcPr/>
          <w:p>
            <w:pPr>
              <w:pStyle w:val="Compact"/>
              <w:jc w:val="left"/>
            </w:pPr>
            <w:r>
              <w:t xml:space="preserve">P2</w:t>
            </w:r>
          </w:p>
        </w:tc>
      </w:tr>
      <w:tr>
        <w:tc>
          <w:tcPr/>
          <w:p>
            <w:pPr>
              <w:pStyle w:val="Compact"/>
              <w:jc w:val="left"/>
            </w:pPr>
            <w:r>
              <w:t xml:space="preserve">H11</w:t>
            </w:r>
          </w:p>
        </w:tc>
        <w:tc>
          <w:tcPr/>
          <w:p>
            <w:pPr>
              <w:pStyle w:val="Compact"/>
              <w:jc w:val="left"/>
            </w:pPr>
            <w:r>
              <w:t xml:space="preserve">Veranker de volledige maatregelenhiërarchie (5M/MAC) incl. verplichte documentatie van substitutie-/bronmaatregelafweging en organisatorische maatregelen (taakroulatie, blootstellingstijdbeperking) in §4.5.</w:t>
            </w:r>
          </w:p>
        </w:tc>
        <w:tc>
          <w:tcPr/>
          <w:p>
            <w:pPr>
              <w:pStyle w:val="Compact"/>
              <w:jc w:val="left"/>
            </w:pPr>
            <w:r>
              <w:t xml:space="preserve">Arbocatalogi / Arbobesluit art. 4.4-structuur</w:t>
            </w:r>
          </w:p>
        </w:tc>
        <w:tc>
          <w:tcPr/>
          <w:p>
            <w:pPr>
              <w:pStyle w:val="Compact"/>
              <w:jc w:val="left"/>
            </w:pPr>
            <w:r>
              <w:t xml:space="preserve">P2</w:t>
            </w:r>
          </w:p>
        </w:tc>
      </w:tr>
      <w:tr>
        <w:tc>
          <w:tcPr/>
          <w:p>
            <w:pPr>
              <w:pStyle w:val="Compact"/>
              <w:jc w:val="left"/>
            </w:pPr>
            <w:r>
              <w:t xml:space="preserve">H12</w:t>
            </w:r>
          </w:p>
        </w:tc>
        <w:tc>
          <w:tcPr/>
          <w:p>
            <w:pPr>
              <w:pStyle w:val="Compact"/>
              <w:jc w:val="left"/>
            </w:pPr>
            <w:r>
              <w:t xml:space="preserve">Los de versie-inconsistentie op: één consistente revisie-aanduiding (Rev A of Rev 1), gevulde revision log (section + description of change), consistente issue-datum in voettekst, datum/versie bij interne referenties (</w:t>
            </w:r>
            <w:r>
              <w:t xml:space="preserve">“</w:t>
            </w:r>
            <w:r>
              <w:t xml:space="preserve">Hoondert Study</w:t>
            </w:r>
            <w:r>
              <w:t xml:space="preserve">”</w:t>
            </w:r>
            <w:r>
              <w:t xml:space="preserve">).</w:t>
            </w:r>
          </w:p>
        </w:tc>
        <w:tc>
          <w:tcPr/>
          <w:p>
            <w:pPr>
              <w:pStyle w:val="Compact"/>
              <w:jc w:val="left"/>
            </w:pPr>
            <w:r>
              <w:t xml:space="preserve">Documentbeheer / kwaliteitsysteem</w:t>
            </w:r>
          </w:p>
        </w:tc>
        <w:tc>
          <w:tcPr/>
          <w:p>
            <w:pPr>
              <w:pStyle w:val="Compact"/>
              <w:jc w:val="left"/>
            </w:pPr>
            <w:r>
              <w:t xml:space="preserve">P2</w:t>
            </w:r>
          </w:p>
        </w:tc>
      </w:tr>
    </w:tbl>
    <w:p>
      <w:pPr>
        <w:pStyle w:val="BodyText"/>
      </w:pPr>
      <w:r>
        <w:rPr>
          <w:b/>
          <w:bCs/>
        </w:rPr>
        <w:t xml:space="preserve">Prioritering</w:t>
      </w:r>
      <w:r>
        <w:t xml:space="preserve">: H1–H5 (P1) vormen de wettelijke harde kern en verdienen opname in de eerstvolgende revisie vóór projectuitvoering; H6–H12 (P2) kunnen in dezelfde of een opvolgende revisie worden verwerkt.</w:t>
      </w:r>
    </w:p>
    <w:p>
      <w:r>
        <w:pict>
          <v:rect style="width:0;height:1.5pt" o:hralign="center" o:hrstd="t" o:hr="t"/>
        </w:pict>
      </w:r>
    </w:p>
    <w:bookmarkEnd w:id="38"/>
    <w:bookmarkStart w:id="39" w:name="bronnen"/>
    <w:p>
      <w:pPr>
        <w:pStyle w:val="Heading2"/>
      </w:pPr>
      <w:r>
        <w:t xml:space="preserve">5. Bronnen</w:t>
      </w:r>
    </w:p>
    <w:p>
      <w:pPr>
        <w:pStyle w:val="Compact"/>
        <w:numPr>
          <w:ilvl w:val="0"/>
          <w:numId w:val="1003"/>
        </w:numPr>
      </w:pPr>
      <w:r>
        <w:rPr>
          <w:b/>
          <w:bCs/>
        </w:rPr>
        <w:t xml:space="preserve">Brondocument</w:t>
      </w:r>
      <w:r>
        <w:t xml:space="preserve">: 003.056 Chromium VI Exposure Control Procedure, Rev A (02-03-2026) / Rev 1 (15-04-2026), KOO B.V. — integrale tekst geëxtraheerd (12 p.). Fysieke locatie:</w:t>
      </w:r>
      <w:r>
        <w:t xml:space="preserve"> </w:t>
      </w:r>
      <w:r>
        <w:rPr>
          <w:rStyle w:val="VerbatimChar"/>
        </w:rPr>
        <w:t xml:space="preserve">/root/Documents/HSEQ_kennis/Interne_Procedures/Handling of chromium audit/003.056 Chromium VI Exposure Control Procedure Rev A.pdf</w:t>
      </w:r>
    </w:p>
    <w:p>
      <w:pPr>
        <w:pStyle w:val="Compact"/>
        <w:numPr>
          <w:ilvl w:val="0"/>
          <w:numId w:val="1003"/>
        </w:numPr>
      </w:pPr>
      <w:r>
        <w:rPr>
          <w:b/>
          <w:bCs/>
        </w:rPr>
        <w:t xml:space="preserve">Arbobesluit</w:t>
      </w:r>
      <w:r>
        <w:t xml:space="preserve"> </w:t>
      </w:r>
      <w:r>
        <w:t xml:space="preserve">(Hoofdstuk 4, Afdeling 3 — kankerverwekkende en mutagene stoffen): art. 4.2 lid 1 en lid 4, art. 4.2a, art. 4.10a, art. 4.10c, art. 4.13, art. 4.15, art. 21-structuur (opgegeven als art. 4.21 in opdrachtframework).</w:t>
      </w:r>
    </w:p>
    <w:p>
      <w:pPr>
        <w:pStyle w:val="Compact"/>
        <w:numPr>
          <w:ilvl w:val="0"/>
          <w:numId w:val="1003"/>
        </w:numPr>
      </w:pPr>
      <w:r>
        <w:rPr>
          <w:b/>
          <w:bCs/>
        </w:rPr>
        <w:t xml:space="preserve">Arbo-Informatieblad 77 — Chroom-6</w:t>
      </w:r>
      <w:r>
        <w:t xml:space="preserve"> </w:t>
      </w:r>
      <w:r>
        <w:t xml:space="preserve">(SZW/SDU): grenswaarde 1 µg/m³ per 1-3-2017 (Gezondheidsraad-beredenering: 4 extra longkankergevallen per 1.000 bij 40 jaar dagelijkse blootstelling), meetstrategie NEN-EN 689/482, art. 4.15-lijst, 40-jaar bewaring, voorbeelden Defensie/Tilburg/ProRail.</w:t>
      </w:r>
    </w:p>
    <w:p>
      <w:pPr>
        <w:pStyle w:val="Compact"/>
        <w:numPr>
          <w:ilvl w:val="0"/>
          <w:numId w:val="1003"/>
        </w:numPr>
      </w:pPr>
      <w:r>
        <w:rPr>
          <w:b/>
          <w:bCs/>
        </w:rPr>
        <w:t xml:space="preserve">REACH Verordening (EG) 1907/2006</w:t>
      </w:r>
      <w:r>
        <w:t xml:space="preserve">, Bijlage XIV (autorisatie chroomtrioxide en zuurchromaten).</w:t>
      </w:r>
    </w:p>
    <w:p>
      <w:pPr>
        <w:pStyle w:val="Compact"/>
        <w:numPr>
          <w:ilvl w:val="0"/>
          <w:numId w:val="1003"/>
        </w:numPr>
      </w:pPr>
      <w:r>
        <w:rPr>
          <w:b/>
          <w:bCs/>
        </w:rPr>
        <w:t xml:space="preserve">Besluit activiteiten leefomgeving (Bal)</w:t>
      </w:r>
      <w:r>
        <w:t xml:space="preserve"> </w:t>
      </w:r>
      <w:r>
        <w:t xml:space="preserve">en</w:t>
      </w:r>
      <w:r>
        <w:t xml:space="preserve"> </w:t>
      </w:r>
      <w:r>
        <w:rPr>
          <w:b/>
          <w:bCs/>
        </w:rPr>
        <w:t xml:space="preserve">Wet milieubeheer / Landelijk Afvalbeheerplan</w:t>
      </w:r>
      <w:r>
        <w:t xml:space="preserve"> </w:t>
      </w:r>
      <w:r>
        <w:t xml:space="preserve">— gevaarlijk afvalregime.</w:t>
      </w:r>
    </w:p>
    <w:p>
      <w:pPr>
        <w:pStyle w:val="Compact"/>
        <w:numPr>
          <w:ilvl w:val="0"/>
          <w:numId w:val="1003"/>
        </w:numPr>
      </w:pPr>
      <w:r>
        <w:rPr>
          <w:b/>
          <w:bCs/>
        </w:rPr>
        <w:t xml:space="preserve">Beheersregime Chroom-6</w:t>
      </w:r>
      <w:r>
        <w:t xml:space="preserve"> </w:t>
      </w:r>
      <w:r>
        <w:t xml:space="preserve">— Rijkswaterstaat/Defensie/ProRail/Rijksvastgoedbedrijf.</w:t>
      </w:r>
    </w:p>
    <w:p>
      <w:pPr>
        <w:pStyle w:val="Compact"/>
        <w:numPr>
          <w:ilvl w:val="0"/>
          <w:numId w:val="1003"/>
        </w:numPr>
      </w:pPr>
      <w:r>
        <w:rPr>
          <w:b/>
          <w:bCs/>
        </w:rPr>
        <w:t xml:space="preserve">SER-wettelijke grenswaardenlijst</w:t>
      </w:r>
      <w:r>
        <w:t xml:space="preserve"> </w:t>
      </w:r>
      <w:r>
        <w:t xml:space="preserve">— Chroom VI: 1 µg/m³ (8-uurs TGG).</w:t>
      </w:r>
    </w:p>
    <w:p>
      <w:pPr>
        <w:pStyle w:val="Compact"/>
        <w:numPr>
          <w:ilvl w:val="0"/>
          <w:numId w:val="1003"/>
        </w:numPr>
      </w:pPr>
      <w:r>
        <w:rPr>
          <w:b/>
          <w:bCs/>
        </w:rPr>
        <w:t xml:space="preserve">NEN-EN 689</w:t>
      </w:r>
      <w:r>
        <w:t xml:space="preserve"> </w:t>
      </w:r>
      <w:r>
        <w:t xml:space="preserve">(meetstrategie werkplekblootstelling) en</w:t>
      </w:r>
      <w:r>
        <w:t xml:space="preserve"> </w:t>
      </w:r>
      <w:r>
        <w:rPr>
          <w:b/>
          <w:bCs/>
        </w:rPr>
        <w:t xml:space="preserve">NEN-EN 482</w:t>
      </w:r>
      <w:r>
        <w:t xml:space="preserve"> </w:t>
      </w:r>
      <w:r>
        <w:t xml:space="preserve">(algemene eisen meetprocedures).</w:t>
      </w:r>
    </w:p>
    <w:p>
      <w:pPr>
        <w:pStyle w:val="Compact"/>
        <w:numPr>
          <w:ilvl w:val="0"/>
          <w:numId w:val="1003"/>
        </w:numPr>
      </w:pPr>
      <w:r>
        <w:rPr>
          <w:b/>
          <w:bCs/>
        </w:rPr>
        <w:t xml:space="preserve">Richtlijn (EU) 2017/2398</w:t>
      </w:r>
      <w:r>
        <w:t xml:space="preserve"> </w:t>
      </w:r>
      <w:r>
        <w:t xml:space="preserve">tot wijziging van richtlijn 2004/37/EG (kankerverwekkende en mutagene stoffen op het werk) — reeds opgenomen in §6 van het brondocument.</w:t>
      </w:r>
    </w:p>
    <w:p>
      <w:pPr>
        <w:pStyle w:val="Compact"/>
        <w:numPr>
          <w:ilvl w:val="0"/>
          <w:numId w:val="1003"/>
        </w:numPr>
      </w:pPr>
      <w:r>
        <w:rPr>
          <w:b/>
          <w:bCs/>
        </w:rPr>
        <w:t xml:space="preserve">AI-bladen 67, 31, 18</w:t>
      </w:r>
      <w:r>
        <w:t xml:space="preserve"> </w:t>
      </w:r>
      <w:r>
        <w:t xml:space="preserve">(kankerverwekkende stoffen; gezondheidsrisico’s gevaarlijke stoffen; PBM).</w:t>
      </w:r>
    </w:p>
    <w:p>
      <w:r>
        <w:pict>
          <v:rect style="width:0;height:1.5pt" o:hralign="center" o:hrstd="t" o:hr="t"/>
        </w:pict>
      </w:r>
    </w:p>
    <w:bookmarkEnd w:id="39"/>
    <w:bookmarkStart w:id="40" w:name="auditregister"/>
    <w:p>
      <w:pPr>
        <w:pStyle w:val="Heading2"/>
      </w:pPr>
      <w:r>
        <w:t xml:space="preserve">6. Auditregister</w:t>
      </w:r>
    </w:p>
    <w:p>
      <w:pPr>
        <w:pStyle w:val="Compact"/>
        <w:numPr>
          <w:ilvl w:val="0"/>
          <w:numId w:val="1004"/>
        </w:numPr>
      </w:pPr>
      <w:r>
        <w:rPr>
          <w:b/>
          <w:bCs/>
        </w:rPr>
        <w:t xml:space="preserve">Uitgevoerd door</w:t>
      </w:r>
      <w:r>
        <w:t xml:space="preserve">: hseq_specialist (Tier 3, GLM-5.2) — Autonome ReAct Loop conform SOP_BRIEFING v9.0 / MASTER_SOP v8.8.</w:t>
      </w:r>
    </w:p>
    <w:p>
      <w:pPr>
        <w:pStyle w:val="Compact"/>
        <w:numPr>
          <w:ilvl w:val="0"/>
          <w:numId w:val="1004"/>
        </w:numPr>
      </w:pPr>
      <w:r>
        <w:rPr>
          <w:b/>
          <w:bCs/>
        </w:rPr>
        <w:t xml:space="preserve">Methode</w:t>
      </w:r>
      <w:r>
        <w:t xml:space="preserve">: integrale tekstextractie brondocument → toetsing per eis uit opdrachtframework (18 beoordelingsitems) → classificatie P1/P2/Conform → herzieningsvoorstellen met juridische onderbouwing.</w:t>
      </w:r>
    </w:p>
    <w:p>
      <w:pPr>
        <w:pStyle w:val="Compact"/>
        <w:numPr>
          <w:ilvl w:val="0"/>
          <w:numId w:val="1004"/>
        </w:numPr>
      </w:pPr>
      <w:r>
        <w:rPr>
          <w:b/>
          <w:bCs/>
        </w:rPr>
        <w:t xml:space="preserve">Feitelijke basis</w:t>
      </w:r>
      <w:r>
        <w:t xml:space="preserve">: uitsluitend brondocumenttekst + opgegeven wettelijk kader + AI-77-kennisbank. Geen aannames opgenomen; waar een eis relevantie-beperkt is (B8 REACH), is dat expliciet genuanceerd.</w:t>
      </w:r>
    </w:p>
    <w:p>
      <w:pPr>
        <w:pStyle w:val="Compact"/>
        <w:numPr>
          <w:ilvl w:val="0"/>
          <w:numId w:val="1004"/>
        </w:numPr>
      </w:pPr>
      <w:r>
        <w:rPr>
          <w:b/>
          <w:bCs/>
        </w:rPr>
        <w:t xml:space="preserve">Output-bestand</w:t>
      </w:r>
      <w:r>
        <w:t xml:space="preserve">:</w:t>
      </w:r>
      <w:r>
        <w:t xml:space="preserve"> </w:t>
      </w:r>
      <w:r>
        <w:rPr>
          <w:rStyle w:val="VerbatimChar"/>
        </w:rPr>
        <w:t xml:space="preserve">/root/projects/jg/2026-audit-koole-chromium-vi/working/audit_analysis.md</w:t>
      </w:r>
      <w:r>
        <w:t xml:space="preserve"> </w:t>
      </w:r>
      <w:r>
        <w:t xml:space="preserve">(intermediate MD; herzieningsvoorstel voor redacteur volgt als einddeliverable in /deliverables/).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Audit 003.056 Chromium VI</dc:title>
  <dc:creator>JvG Consultancy</dc:creator>
  <cp:keywords/>
  <dcterms:created xsi:type="dcterms:W3CDTF">2026-08-24T21:16:27Z</dcterms:created>
  <dcterms:modified xsi:type="dcterms:W3CDTF">2026-08-24T21:16:27Z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2026-08-24</vt:lpwstr>
  </property>
</Properties>
</file>