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after="40"/>
        <w:jc w:val="center"/>
      </w:pPr>
      <w:r>
        <w:rPr>
          <w:rFonts w:ascii="Calibri" w:hAnsi="Calibri"/>
          <w:b/>
          <w:i w:val="0"/>
          <w:color w:val="003366"/>
          <w:sz w:val="28"/>
        </w:rPr>
        <w:t>JvG CONSULTANCY — HSEQ</w:t>
      </w:r>
    </w:p>
    <w:p>
      <w:pPr>
        <w:spacing w:after="40"/>
        <w:jc w:val="center"/>
      </w:pPr>
      <w:r>
        <w:rPr>
          <w:rFonts w:ascii="Calibri" w:hAnsi="Calibri"/>
          <w:b/>
          <w:i w:val="0"/>
          <w:color w:val="003366"/>
          <w:sz w:val="48"/>
        </w:rPr>
        <w:t>TEKSTUEEL VERBETERADVIES</w:t>
      </w:r>
    </w:p>
    <w:p>
      <w:pPr>
        <w:spacing w:after="40"/>
        <w:jc w:val="center"/>
      </w:pPr>
      <w:r>
        <w:rPr>
          <w:rFonts w:ascii="Calibri" w:hAnsi="Calibri"/>
          <w:b/>
          <w:i w:val="0"/>
          <w:color w:val="003366"/>
          <w:sz w:val="32"/>
        </w:rPr>
        <w:t>ChroomVI — Koole 003.056</w:t>
      </w:r>
    </w:p>
    <w:p>
      <w:pPr>
        <w:spacing w:after="320"/>
        <w:jc w:val="center"/>
      </w:pPr>
      <w:r>
        <w:rPr>
          <w:rFonts w:ascii="Calibri" w:hAnsi="Calibri"/>
          <w:b w:val="0"/>
          <w:i w:val="0"/>
          <w:sz w:val="24"/>
        </w:rPr>
        <w:t>Gedetailleerde tekstverbetervoorstellen per sectie van 003.056</w:t>
      </w:r>
    </w:p>
    <w:p>
      <w:pPr>
        <w:spacing w:after="80"/>
        <w:jc w:val="center"/>
      </w:pPr>
      <w:r>
        <w:rPr>
          <w:rFonts w:ascii="Calibri" w:hAnsi="Calibri"/>
          <w:b w:val="0"/>
          <w:i w:val="0"/>
          <w:sz w:val="20"/>
        </w:rPr>
        <w:t>Koppeling: Compliance Audit v3.0 (B1-B18, H1-H12) · Conformiteitsmatrix v1.0</w:t>
      </w:r>
    </w:p>
    <w:p>
      <w:pPr>
        <w:spacing w:after="80"/>
        <w:jc w:val="center"/>
      </w:pPr>
      <w:r>
        <w:rPr>
          <w:rFonts w:ascii="Calibri" w:hAnsi="Calibri"/>
          <w:b w:val="0"/>
          <w:i w:val="0"/>
          <w:sz w:val="20"/>
        </w:rPr>
        <w:t>Iteratie: v1.0 (herzieningsvoorstellen) → v2.0 (structuur) → v3.0 (deze uitgave)</w:t>
      </w:r>
    </w:p>
    <w:p>
      <w:pPr>
        <w:spacing w:after="400"/>
        <w:jc w:val="center"/>
      </w:pPr>
      <w:r>
        <w:rPr>
          <w:rFonts w:ascii="Calibri" w:hAnsi="Calibri"/>
          <w:b w:val="0"/>
          <w:i/>
          <w:sz w:val="20"/>
        </w:rPr>
        <w:t>Status: Definitief — Vertrouwelijk</w:t>
      </w:r>
    </w:p>
    <w:p>
      <w:pPr>
        <w:pStyle w:val="Heading1"/>
      </w:pPr>
      <w:r>
        <w:t>1. Inleiding en Leeswijzer</w:t>
      </w:r>
    </w:p>
    <w:p>
      <w:pPr>
        <w:spacing w:after="120"/>
      </w:pPr>
      <w:r>
        <w:rPr>
          <w:rFonts w:ascii="Calibri" w:hAnsi="Calibri"/>
          <w:b w:val="0"/>
          <w:i w:val="0"/>
          <w:sz w:val="22"/>
        </w:rPr>
        <w:t>Dit Tekstueel Verbeteradvies bevat gedetailleerde, direct toepasbare tekstverbetervoorstellen voor de Koole-procedure 003.056 ‘Chromium VI Exposure Control Procedure’ (Rev A/Rev 1, 2026). Elk voorstel volgt een vast stramien: locatie, huidige situatie, analyse, voorgestelde herformulering en onderbouwing. Voorstellen T-01 t/m T-12 corresponderen met de herzieningsvoorstellen H1-H12 uit de audit; T-13 t/m T-24 zijn aanvullende verbeteringen op Golden Standard-niveau.</w:t>
      </w:r>
    </w:p>
    <w:tbl>
      <w:tblPr>
        <w:tblStyle w:val="TableGrid"/>
        <w:tblW w:type="auto" w:w="0"/>
        <w:jc w:val="center"/>
        <w:tblLook w:firstColumn="1" w:firstRow="1" w:lastColumn="0" w:lastRow="0" w:noHBand="0" w:noVBand="1" w:val="04A0"/>
      </w:tblPr>
      <w:tblGrid>
        <w:gridCol w:w="3173"/>
        <w:gridCol w:w="3173"/>
        <w:gridCol w:w="3173"/>
      </w:tblGrid>
      <w:tr>
        <w:tc>
          <w:tcPr>
            <w:tcW w:type="dxa" w:w="3173"/>
            <w:shd w:val="clear" w:color="auto" w:fill="003366"/>
          </w:tcPr>
          <w:p>
            <w:r/>
            <w:r>
              <w:rPr>
                <w:rFonts w:ascii="Calibri" w:hAnsi="Calibri"/>
                <w:b/>
                <w:color w:val="FFFFFF"/>
                <w:sz w:val="19"/>
              </w:rPr>
              <w:t>Prioriteit</w:t>
            </w:r>
          </w:p>
        </w:tc>
        <w:tc>
          <w:tcPr>
            <w:tcW w:type="dxa" w:w="3173"/>
            <w:shd w:val="clear" w:color="auto" w:fill="003366"/>
          </w:tcPr>
          <w:p>
            <w:r/>
            <w:r>
              <w:rPr>
                <w:rFonts w:ascii="Calibri" w:hAnsi="Calibri"/>
                <w:b/>
                <w:color w:val="FFFFFF"/>
                <w:sz w:val="19"/>
              </w:rPr>
              <w:t>Betekenis</w:t>
            </w:r>
          </w:p>
        </w:tc>
        <w:tc>
          <w:tcPr>
            <w:tcW w:type="dxa" w:w="3173"/>
            <w:shd w:val="clear" w:color="auto" w:fill="003366"/>
          </w:tcPr>
          <w:p>
            <w:r/>
            <w:r>
              <w:rPr>
                <w:rFonts w:ascii="Calibri" w:hAnsi="Calibri"/>
                <w:b/>
                <w:color w:val="FFFFFF"/>
                <w:sz w:val="19"/>
              </w:rPr>
              <w:t>Aantal</w:t>
            </w:r>
          </w:p>
        </w:tc>
      </w:tr>
      <w:tr>
        <w:tc>
          <w:tcPr>
            <w:tcW w:type="dxa" w:w="3173"/>
          </w:tcPr>
          <w:p>
            <w:r/>
            <w:r>
              <w:rPr>
                <w:rFonts w:ascii="Calibri" w:hAnsi="Calibri"/>
                <w:b w:val="0"/>
                <w:color w:val="1F2937"/>
                <w:sz w:val="19"/>
              </w:rPr>
              <w:t>P1</w:t>
            </w:r>
          </w:p>
        </w:tc>
        <w:tc>
          <w:tcPr>
            <w:tcW w:type="dxa" w:w="3173"/>
          </w:tcPr>
          <w:p>
            <w:r/>
            <w:r>
              <w:rPr>
                <w:rFonts w:ascii="Calibri" w:hAnsi="Calibri"/>
                <w:b w:val="0"/>
                <w:color w:val="1F2937"/>
                <w:sz w:val="19"/>
              </w:rPr>
              <w:t>Wettelijk verplicht — spoedrevisie vóór projectuitvoering</w:t>
            </w:r>
          </w:p>
        </w:tc>
        <w:tc>
          <w:tcPr>
            <w:tcW w:type="dxa" w:w="3173"/>
          </w:tcPr>
          <w:p>
            <w:r/>
            <w:r>
              <w:rPr>
                <w:rFonts w:ascii="Calibri" w:hAnsi="Calibri"/>
                <w:b w:val="0"/>
                <w:color w:val="1F2937"/>
                <w:sz w:val="19"/>
              </w:rPr>
              <w:t>6</w:t>
            </w:r>
          </w:p>
        </w:tc>
      </w:tr>
      <w:tr>
        <w:tc>
          <w:tcPr>
            <w:tcW w:type="dxa" w:w="3173"/>
          </w:tcPr>
          <w:p>
            <w:r/>
            <w:r>
              <w:rPr>
                <w:rFonts w:ascii="Calibri" w:hAnsi="Calibri"/>
                <w:b w:val="0"/>
                <w:color w:val="1F2937"/>
                <w:sz w:val="19"/>
              </w:rPr>
              <w:t>P2</w:t>
            </w:r>
          </w:p>
        </w:tc>
        <w:tc>
          <w:tcPr>
            <w:tcW w:type="dxa" w:w="3173"/>
          </w:tcPr>
          <w:p>
            <w:r/>
            <w:r>
              <w:rPr>
                <w:rFonts w:ascii="Calibri" w:hAnsi="Calibri"/>
                <w:b w:val="0"/>
                <w:color w:val="1F2937"/>
                <w:sz w:val="19"/>
              </w:rPr>
              <w:t>Aanbevolen — eerstvolgende herzieningsronde</w:t>
            </w:r>
          </w:p>
        </w:tc>
        <w:tc>
          <w:tcPr>
            <w:tcW w:type="dxa" w:w="3173"/>
          </w:tcPr>
          <w:p>
            <w:r/>
            <w:r>
              <w:rPr>
                <w:rFonts w:ascii="Calibri" w:hAnsi="Calibri"/>
                <w:b w:val="0"/>
                <w:color w:val="1F2937"/>
                <w:sz w:val="19"/>
              </w:rPr>
              <w:t>14</w:t>
            </w:r>
          </w:p>
        </w:tc>
      </w:tr>
      <w:tr>
        <w:tc>
          <w:tcPr>
            <w:tcW w:type="dxa" w:w="3173"/>
          </w:tcPr>
          <w:p>
            <w:r/>
            <w:r>
              <w:rPr>
                <w:rFonts w:ascii="Calibri" w:hAnsi="Calibri"/>
                <w:b w:val="0"/>
                <w:color w:val="1F2937"/>
                <w:sz w:val="19"/>
              </w:rPr>
              <w:t>P3</w:t>
            </w:r>
          </w:p>
        </w:tc>
        <w:tc>
          <w:tcPr>
            <w:tcW w:type="dxa" w:w="3173"/>
          </w:tcPr>
          <w:p>
            <w:r/>
            <w:r>
              <w:rPr>
                <w:rFonts w:ascii="Calibri" w:hAnsi="Calibri"/>
                <w:b w:val="0"/>
                <w:color w:val="1F2937"/>
                <w:sz w:val="19"/>
              </w:rPr>
              <w:t>Best practice / documentbeheer</w:t>
            </w:r>
          </w:p>
        </w:tc>
        <w:tc>
          <w:tcPr>
            <w:tcW w:type="dxa" w:w="3173"/>
          </w:tcPr>
          <w:p>
            <w:r/>
            <w:r>
              <w:rPr>
                <w:rFonts w:ascii="Calibri" w:hAnsi="Calibri"/>
                <w:b w:val="0"/>
                <w:color w:val="1F2937"/>
                <w:sz w:val="19"/>
              </w:rPr>
              <w:t>4</w:t>
            </w:r>
          </w:p>
        </w:tc>
      </w:tr>
      <w:tr>
        <w:tc>
          <w:tcPr>
            <w:tcW w:type="dxa" w:w="3173"/>
          </w:tcPr>
          <w:p>
            <w:r/>
            <w:r>
              <w:rPr>
                <w:rFonts w:ascii="Calibri" w:hAnsi="Calibri"/>
                <w:b w:val="0"/>
                <w:color w:val="1F2937"/>
                <w:sz w:val="19"/>
              </w:rPr>
              <w:t>Totaal</w:t>
            </w:r>
          </w:p>
        </w:tc>
        <w:tc>
          <w:tcPr>
            <w:tcW w:type="dxa" w:w="3173"/>
          </w:tcPr>
          <w:p>
            <w:r/>
            <w:r>
              <w:rPr>
                <w:rFonts w:ascii="Calibri" w:hAnsi="Calibri"/>
                <w:b w:val="0"/>
                <w:color w:val="1F2937"/>
                <w:sz w:val="19"/>
              </w:rPr>
              <w:t>—</w:t>
            </w:r>
          </w:p>
        </w:tc>
        <w:tc>
          <w:tcPr>
            <w:tcW w:type="dxa" w:w="3173"/>
          </w:tcPr>
          <w:p>
            <w:r/>
            <w:r>
              <w:rPr>
                <w:rFonts w:ascii="Calibri" w:hAnsi="Calibri"/>
                <w:b w:val="0"/>
                <w:color w:val="1F2937"/>
                <w:sz w:val="19"/>
              </w:rPr>
              <w:t>24</w:t>
            </w:r>
          </w:p>
        </w:tc>
      </w:tr>
    </w:tbl>
    <w:p>
      <w:pPr>
        <w:spacing w:after="40"/>
      </w:pPr>
    </w:p>
    <w:p>
      <w:pPr>
        <w:pStyle w:val="Heading2"/>
      </w:pPr>
      <w:r>
        <w:t>1.1 Werkwijze</w:t>
      </w:r>
    </w:p>
    <w:p>
      <w:pPr>
        <w:pStyle w:val="ListNumber"/>
        <w:spacing w:after="60"/>
      </w:pPr>
      <w:r>
        <w:t>Elk voorstel is herleidbaar naar wetsartikel, AI-blad of norm.</w:t>
      </w:r>
    </w:p>
    <w:p>
      <w:pPr>
        <w:pStyle w:val="ListNumber"/>
        <w:spacing w:after="60"/>
      </w:pPr>
      <w:r>
        <w:t>Voorgestelde teksten in het Engels (taal brondocument); analyse in het Nederlands.</w:t>
      </w:r>
    </w:p>
    <w:p>
      <w:pPr>
        <w:pStyle w:val="ListNumber"/>
        <w:spacing w:after="60"/>
      </w:pPr>
      <w:r>
        <w:t>T-01 t/m T-12 = H1 t/m H12 uit het herzieningsvoorstel; uitbreidingen zijn T-13 t/m T-24.</w:t>
      </w:r>
    </w:p>
    <w:p>
      <w:pPr>
        <w:pStyle w:val="ListNumber"/>
        <w:spacing w:after="60"/>
      </w:pPr>
      <w:r>
        <w:t>Na implementatie: doorloop de cross-reference checklist (hoofdstuk 4).</w:t>
      </w:r>
    </w:p>
    <w:p>
      <w:pPr>
        <w:pStyle w:val="Heading1"/>
      </w:pPr>
      <w:r>
        <w:t>2. Voorstellen per Locatie in het Brondocument</w:t>
      </w:r>
    </w:p>
    <w:p>
      <w:pPr>
        <w:spacing w:after="120"/>
      </w:pPr>
      <w:r>
        <w:rPr>
          <w:rFonts w:ascii="Calibri" w:hAnsi="Calibri"/>
          <w:b w:val="0"/>
          <w:i w:val="0"/>
          <w:sz w:val="22"/>
        </w:rPr>
        <w:t>Overzicht van alle 24 voorstellen met prioriteit; de detailuitwerking per voorstel volgt hieronder.</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ID</w:t>
            </w:r>
          </w:p>
        </w:tc>
        <w:tc>
          <w:tcPr>
            <w:tcW w:type="dxa" w:w="2379"/>
            <w:shd w:val="clear" w:color="auto" w:fill="003366"/>
          </w:tcPr>
          <w:p>
            <w:r/>
            <w:r>
              <w:rPr>
                <w:rFonts w:ascii="Calibri" w:hAnsi="Calibri"/>
                <w:b/>
                <w:color w:val="FFFFFF"/>
                <w:sz w:val="19"/>
              </w:rPr>
              <w:t>Locatie</w:t>
            </w:r>
          </w:p>
        </w:tc>
        <w:tc>
          <w:tcPr>
            <w:tcW w:type="dxa" w:w="2379"/>
            <w:shd w:val="clear" w:color="auto" w:fill="003366"/>
          </w:tcPr>
          <w:p>
            <w:r/>
            <w:r>
              <w:rPr>
                <w:rFonts w:ascii="Calibri" w:hAnsi="Calibri"/>
                <w:b/>
                <w:color w:val="FFFFFF"/>
                <w:sz w:val="19"/>
              </w:rPr>
              <w:t>Thema</w:t>
            </w:r>
          </w:p>
        </w:tc>
        <w:tc>
          <w:tcPr>
            <w:tcW w:type="dxa" w:w="2379"/>
            <w:shd w:val="clear" w:color="auto" w:fill="003366"/>
          </w:tcPr>
          <w:p>
            <w:r/>
            <w:r>
              <w:rPr>
                <w:rFonts w:ascii="Calibri" w:hAnsi="Calibri"/>
                <w:b/>
                <w:color w:val="FFFFFF"/>
                <w:sz w:val="19"/>
              </w:rPr>
              <w:t>Prio</w:t>
            </w:r>
          </w:p>
        </w:tc>
      </w:tr>
      <w:tr>
        <w:tc>
          <w:tcPr>
            <w:tcW w:type="dxa" w:w="2379"/>
          </w:tcPr>
          <w:p>
            <w:r/>
            <w:r>
              <w:rPr>
                <w:rFonts w:ascii="Calibri" w:hAnsi="Calibri"/>
                <w:b w:val="0"/>
                <w:color w:val="1F2937"/>
                <w:sz w:val="19"/>
              </w:rPr>
              <w:t>T-1</w:t>
            </w:r>
          </w:p>
        </w:tc>
        <w:tc>
          <w:tcPr>
            <w:tcW w:type="dxa" w:w="2379"/>
          </w:tcPr>
          <w:p>
            <w:r/>
            <w:r>
              <w:rPr>
                <w:rFonts w:ascii="Calibri" w:hAnsi="Calibri"/>
                <w:b w:val="0"/>
                <w:color w:val="1F2937"/>
                <w:sz w:val="19"/>
              </w:rPr>
              <w:t>Sectie 5 / nieuw hoofdstuk Exposure As</w:t>
            </w:r>
          </w:p>
        </w:tc>
        <w:tc>
          <w:tcPr>
            <w:tcW w:type="dxa" w:w="2379"/>
          </w:tcPr>
          <w:p>
            <w:r/>
            <w:r>
              <w:rPr>
                <w:rFonts w:ascii="Calibri" w:hAnsi="Calibri"/>
                <w:b w:val="0"/>
                <w:color w:val="1F2937"/>
                <w:sz w:val="19"/>
              </w:rPr>
              <w:t>Meetstrategie en toetsing grenswaarde</w:t>
            </w:r>
          </w:p>
        </w:tc>
        <w:tc>
          <w:tcPr>
            <w:tcW w:type="dxa" w:w="2379"/>
          </w:tcPr>
          <w:p>
            <w:r/>
            <w:r>
              <w:rPr>
                <w:rFonts w:ascii="Calibri" w:hAnsi="Calibri"/>
                <w:b w:val="0"/>
                <w:color w:val="1F2937"/>
                <w:sz w:val="19"/>
              </w:rPr>
              <w:t>P1</w:t>
            </w:r>
          </w:p>
        </w:tc>
      </w:tr>
      <w:tr>
        <w:tc>
          <w:tcPr>
            <w:tcW w:type="dxa" w:w="2379"/>
          </w:tcPr>
          <w:p>
            <w:r/>
            <w:r>
              <w:rPr>
                <w:rFonts w:ascii="Calibri" w:hAnsi="Calibri"/>
                <w:b w:val="0"/>
                <w:color w:val="1F2937"/>
                <w:sz w:val="19"/>
              </w:rPr>
              <w:t>T-2</w:t>
            </w:r>
          </w:p>
        </w:tc>
        <w:tc>
          <w:tcPr>
            <w:tcW w:type="dxa" w:w="2379"/>
          </w:tcPr>
          <w:p>
            <w:r/>
            <w:r>
              <w:rPr>
                <w:rFonts w:ascii="Calibri" w:hAnsi="Calibri"/>
                <w:b w:val="0"/>
                <w:color w:val="1F2937"/>
                <w:sz w:val="19"/>
              </w:rPr>
              <w:t>Sectie 3 + nieuw § Health Surveillance</w:t>
            </w:r>
          </w:p>
        </w:tc>
        <w:tc>
          <w:tcPr>
            <w:tcW w:type="dxa" w:w="2379"/>
          </w:tcPr>
          <w:p>
            <w:r/>
            <w:r>
              <w:rPr>
                <w:rFonts w:ascii="Calibri" w:hAnsi="Calibri"/>
                <w:b w:val="0"/>
                <w:color w:val="1F2937"/>
                <w:sz w:val="19"/>
              </w:rPr>
              <w:t>Arbeidsgezondheidskundig onderzoek / AGO</w:t>
            </w:r>
          </w:p>
        </w:tc>
        <w:tc>
          <w:tcPr>
            <w:tcW w:type="dxa" w:w="2379"/>
          </w:tcPr>
          <w:p>
            <w:r/>
            <w:r>
              <w:rPr>
                <w:rFonts w:ascii="Calibri" w:hAnsi="Calibri"/>
                <w:b w:val="0"/>
                <w:color w:val="1F2937"/>
                <w:sz w:val="19"/>
              </w:rPr>
              <w:t>P1</w:t>
            </w:r>
          </w:p>
        </w:tc>
      </w:tr>
      <w:tr>
        <w:tc>
          <w:tcPr>
            <w:tcW w:type="dxa" w:w="2379"/>
          </w:tcPr>
          <w:p>
            <w:r/>
            <w:r>
              <w:rPr>
                <w:rFonts w:ascii="Calibri" w:hAnsi="Calibri"/>
                <w:b w:val="0"/>
                <w:color w:val="1F2937"/>
                <w:sz w:val="19"/>
              </w:rPr>
              <w:t>T-3</w:t>
            </w:r>
          </w:p>
        </w:tc>
        <w:tc>
          <w:tcPr>
            <w:tcW w:type="dxa" w:w="2379"/>
          </w:tcPr>
          <w:p>
            <w:r/>
            <w:r>
              <w:rPr>
                <w:rFonts w:ascii="Calibri" w:hAnsi="Calibri"/>
                <w:b w:val="0"/>
                <w:color w:val="1F2937"/>
                <w:sz w:val="19"/>
              </w:rPr>
              <w:t>Nieuwe paragraaf Record Retention</w:t>
            </w:r>
          </w:p>
        </w:tc>
        <w:tc>
          <w:tcPr>
            <w:tcW w:type="dxa" w:w="2379"/>
          </w:tcPr>
          <w:p>
            <w:r/>
            <w:r>
              <w:rPr>
                <w:rFonts w:ascii="Calibri" w:hAnsi="Calibri"/>
                <w:b w:val="0"/>
                <w:color w:val="1F2937"/>
                <w:sz w:val="19"/>
              </w:rPr>
              <w:t>Bewaartermijn blootstellingsgegevens</w:t>
            </w:r>
          </w:p>
        </w:tc>
        <w:tc>
          <w:tcPr>
            <w:tcW w:type="dxa" w:w="2379"/>
          </w:tcPr>
          <w:p>
            <w:r/>
            <w:r>
              <w:rPr>
                <w:rFonts w:ascii="Calibri" w:hAnsi="Calibri"/>
                <w:b w:val="0"/>
                <w:color w:val="1F2937"/>
                <w:sz w:val="19"/>
              </w:rPr>
              <w:t>P1</w:t>
            </w:r>
          </w:p>
        </w:tc>
      </w:tr>
      <w:tr>
        <w:tc>
          <w:tcPr>
            <w:tcW w:type="dxa" w:w="2379"/>
          </w:tcPr>
          <w:p>
            <w:r/>
            <w:r>
              <w:rPr>
                <w:rFonts w:ascii="Calibri" w:hAnsi="Calibri"/>
                <w:b w:val="0"/>
                <w:color w:val="1F2937"/>
                <w:sz w:val="19"/>
              </w:rPr>
              <w:t>T-4</w:t>
            </w:r>
          </w:p>
        </w:tc>
        <w:tc>
          <w:tcPr>
            <w:tcW w:type="dxa" w:w="2379"/>
          </w:tcPr>
          <w:p>
            <w:r/>
            <w:r>
              <w:rPr>
                <w:rFonts w:ascii="Calibri" w:hAnsi="Calibri"/>
                <w:b w:val="0"/>
                <w:color w:val="1F2937"/>
                <w:sz w:val="19"/>
              </w:rPr>
              <w:t>Nieuwe paragraaf Exposure Register</w:t>
            </w:r>
          </w:p>
        </w:tc>
        <w:tc>
          <w:tcPr>
            <w:tcW w:type="dxa" w:w="2379"/>
          </w:tcPr>
          <w:p>
            <w:r/>
            <w:r>
              <w:rPr>
                <w:rFonts w:ascii="Calibri" w:hAnsi="Calibri"/>
                <w:b w:val="0"/>
                <w:color w:val="1F2937"/>
                <w:sz w:val="19"/>
              </w:rPr>
              <w:t>Lijst van blootgestelde werknemers</w:t>
            </w:r>
          </w:p>
        </w:tc>
        <w:tc>
          <w:tcPr>
            <w:tcW w:type="dxa" w:w="2379"/>
          </w:tcPr>
          <w:p>
            <w:r/>
            <w:r>
              <w:rPr>
                <w:rFonts w:ascii="Calibri" w:hAnsi="Calibri"/>
                <w:b w:val="0"/>
                <w:color w:val="1F2937"/>
                <w:sz w:val="19"/>
              </w:rPr>
              <w:t>P1</w:t>
            </w:r>
          </w:p>
        </w:tc>
      </w:tr>
      <w:tr>
        <w:tc>
          <w:tcPr>
            <w:tcW w:type="dxa" w:w="2379"/>
          </w:tcPr>
          <w:p>
            <w:r/>
            <w:r>
              <w:rPr>
                <w:rFonts w:ascii="Calibri" w:hAnsi="Calibri"/>
                <w:b w:val="0"/>
                <w:color w:val="1F2937"/>
                <w:sz w:val="19"/>
              </w:rPr>
              <w:t>T-5</w:t>
            </w:r>
          </w:p>
        </w:tc>
        <w:tc>
          <w:tcPr>
            <w:tcW w:type="dxa" w:w="2379"/>
          </w:tcPr>
          <w:p>
            <w:r/>
            <w:r>
              <w:rPr>
                <w:rFonts w:ascii="Calibri" w:hAnsi="Calibri"/>
                <w:b w:val="0"/>
                <w:color w:val="1F2937"/>
                <w:sz w:val="19"/>
              </w:rPr>
              <w:t>Sectie 4.4 + RI&amp;E-verwijzing</w:t>
            </w:r>
          </w:p>
        </w:tc>
        <w:tc>
          <w:tcPr>
            <w:tcW w:type="dxa" w:w="2379"/>
          </w:tcPr>
          <w:p>
            <w:r/>
            <w:r>
              <w:rPr>
                <w:rFonts w:ascii="Calibri" w:hAnsi="Calibri"/>
                <w:b w:val="0"/>
                <w:color w:val="1F2937"/>
                <w:sz w:val="19"/>
              </w:rPr>
              <w:t>RI&amp;E inclusief tox-elementen en vervangingsonderbouw</w:t>
            </w:r>
          </w:p>
        </w:tc>
        <w:tc>
          <w:tcPr>
            <w:tcW w:type="dxa" w:w="2379"/>
          </w:tcPr>
          <w:p>
            <w:r/>
            <w:r>
              <w:rPr>
                <w:rFonts w:ascii="Calibri" w:hAnsi="Calibri"/>
                <w:b w:val="0"/>
                <w:color w:val="1F2937"/>
                <w:sz w:val="19"/>
              </w:rPr>
              <w:t>P1</w:t>
            </w:r>
          </w:p>
        </w:tc>
      </w:tr>
      <w:tr>
        <w:tc>
          <w:tcPr>
            <w:tcW w:type="dxa" w:w="2379"/>
          </w:tcPr>
          <w:p>
            <w:r/>
            <w:r>
              <w:rPr>
                <w:rFonts w:ascii="Calibri" w:hAnsi="Calibri"/>
                <w:b w:val="0"/>
                <w:color w:val="1F2937"/>
                <w:sz w:val="19"/>
              </w:rPr>
              <w:t>T-6</w:t>
            </w:r>
          </w:p>
        </w:tc>
        <w:tc>
          <w:tcPr>
            <w:tcW w:type="dxa" w:w="2379"/>
          </w:tcPr>
          <w:p>
            <w:r/>
            <w:r>
              <w:rPr>
                <w:rFonts w:ascii="Calibri" w:hAnsi="Calibri"/>
                <w:b w:val="0"/>
                <w:color w:val="1F2937"/>
                <w:sz w:val="19"/>
              </w:rPr>
              <w:t>Sectie 4.3.3/4.5.2</w:t>
            </w:r>
          </w:p>
        </w:tc>
        <w:tc>
          <w:tcPr>
            <w:tcW w:type="dxa" w:w="2379"/>
          </w:tcPr>
          <w:p>
            <w:r/>
            <w:r>
              <w:rPr>
                <w:rFonts w:ascii="Calibri" w:hAnsi="Calibri"/>
                <w:b w:val="0"/>
                <w:color w:val="1F2937"/>
                <w:sz w:val="19"/>
              </w:rPr>
              <w:t>Abnormale blootstelling en OR/PVT-informering</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T-7</w:t>
            </w:r>
          </w:p>
        </w:tc>
        <w:tc>
          <w:tcPr>
            <w:tcW w:type="dxa" w:w="2379"/>
          </w:tcPr>
          <w:p>
            <w:r/>
            <w:r>
              <w:rPr>
                <w:rFonts w:ascii="Calibri" w:hAnsi="Calibri"/>
                <w:b w:val="0"/>
                <w:color w:val="1F2937"/>
                <w:sz w:val="19"/>
              </w:rPr>
              <w:t>Sectie 6 References</w:t>
            </w:r>
          </w:p>
        </w:tc>
        <w:tc>
          <w:tcPr>
            <w:tcW w:type="dxa" w:w="2379"/>
          </w:tcPr>
          <w:p>
            <w:r/>
            <w:r>
              <w:rPr>
                <w:rFonts w:ascii="Calibri" w:hAnsi="Calibri"/>
                <w:b w:val="0"/>
                <w:color w:val="1F2937"/>
                <w:sz w:val="19"/>
              </w:rPr>
              <w:t>REACH Bijlage XIV</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T-8</w:t>
            </w:r>
          </w:p>
        </w:tc>
        <w:tc>
          <w:tcPr>
            <w:tcW w:type="dxa" w:w="2379"/>
          </w:tcPr>
          <w:p>
            <w:r/>
            <w:r>
              <w:rPr>
                <w:rFonts w:ascii="Calibri" w:hAnsi="Calibri"/>
                <w:b w:val="0"/>
                <w:color w:val="1F2937"/>
                <w:sz w:val="19"/>
              </w:rPr>
              <w:t>Sectie 4.5.1-4.5.3</w:t>
            </w:r>
          </w:p>
        </w:tc>
        <w:tc>
          <w:tcPr>
            <w:tcW w:type="dxa" w:w="2379"/>
          </w:tcPr>
          <w:p>
            <w:r/>
            <w:r>
              <w:rPr>
                <w:rFonts w:ascii="Calibri" w:hAnsi="Calibri"/>
                <w:b w:val="0"/>
                <w:color w:val="1F2937"/>
                <w:sz w:val="19"/>
              </w:rPr>
              <w:t>Afvalstroom en afvoer (Bal / Wet milieubeheer)</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T-9</w:t>
            </w:r>
          </w:p>
        </w:tc>
        <w:tc>
          <w:tcPr>
            <w:tcW w:type="dxa" w:w="2379"/>
          </w:tcPr>
          <w:p>
            <w:r/>
            <w:r>
              <w:rPr>
                <w:rFonts w:ascii="Calibri" w:hAnsi="Calibri"/>
                <w:b w:val="0"/>
                <w:color w:val="1F2937"/>
                <w:sz w:val="19"/>
              </w:rPr>
              <w:t>Sectie 6 References</w:t>
            </w:r>
          </w:p>
        </w:tc>
        <w:tc>
          <w:tcPr>
            <w:tcW w:type="dxa" w:w="2379"/>
          </w:tcPr>
          <w:p>
            <w:r/>
            <w:r>
              <w:rPr>
                <w:rFonts w:ascii="Calibri" w:hAnsi="Calibri"/>
                <w:b w:val="0"/>
                <w:color w:val="1F2937"/>
                <w:sz w:val="19"/>
              </w:rPr>
              <w:t>Arbo-Informatiebladen</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T-10</w:t>
            </w:r>
          </w:p>
        </w:tc>
        <w:tc>
          <w:tcPr>
            <w:tcW w:type="dxa" w:w="2379"/>
          </w:tcPr>
          <w:p>
            <w:r/>
            <w:r>
              <w:rPr>
                <w:rFonts w:ascii="Calibri" w:hAnsi="Calibri"/>
                <w:b w:val="0"/>
                <w:color w:val="1F2937"/>
                <w:sz w:val="19"/>
              </w:rPr>
              <w:t>Nieuwe bijlage beheersmaatregelenmatri</w:t>
            </w:r>
          </w:p>
        </w:tc>
        <w:tc>
          <w:tcPr>
            <w:tcW w:type="dxa" w:w="2379"/>
          </w:tcPr>
          <w:p>
            <w:r/>
            <w:r>
              <w:rPr>
                <w:rFonts w:ascii="Calibri" w:hAnsi="Calibri"/>
                <w:b w:val="0"/>
                <w:color w:val="1F2937"/>
                <w:sz w:val="19"/>
              </w:rPr>
              <w:t>Beheersregime Chroom-6</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T-11</w:t>
            </w:r>
          </w:p>
        </w:tc>
        <w:tc>
          <w:tcPr>
            <w:tcW w:type="dxa" w:w="2379"/>
          </w:tcPr>
          <w:p>
            <w:r/>
            <w:r>
              <w:rPr>
                <w:rFonts w:ascii="Calibri" w:hAnsi="Calibri"/>
                <w:b w:val="0"/>
                <w:color w:val="1F2937"/>
                <w:sz w:val="19"/>
              </w:rPr>
              <w:t>Sectie 4.5</w:t>
            </w:r>
          </w:p>
        </w:tc>
        <w:tc>
          <w:tcPr>
            <w:tcW w:type="dxa" w:w="2379"/>
          </w:tcPr>
          <w:p>
            <w:r/>
            <w:r>
              <w:rPr>
                <w:rFonts w:ascii="Calibri" w:hAnsi="Calibri"/>
                <w:b w:val="0"/>
                <w:color w:val="1F2937"/>
                <w:sz w:val="19"/>
              </w:rPr>
              <w:t>5M-methode / hiërarchie van beheersmaatregelen</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T-12</w:t>
            </w:r>
          </w:p>
        </w:tc>
        <w:tc>
          <w:tcPr>
            <w:tcW w:type="dxa" w:w="2379"/>
          </w:tcPr>
          <w:p>
            <w:r/>
            <w:r>
              <w:rPr>
                <w:rFonts w:ascii="Calibri" w:hAnsi="Calibri"/>
                <w:b w:val="0"/>
                <w:color w:val="1F2937"/>
                <w:sz w:val="19"/>
              </w:rPr>
              <w:t>Revisiestatuspagina/voettekst</w:t>
            </w:r>
          </w:p>
        </w:tc>
        <w:tc>
          <w:tcPr>
            <w:tcW w:type="dxa" w:w="2379"/>
          </w:tcPr>
          <w:p>
            <w:r/>
            <w:r>
              <w:rPr>
                <w:rFonts w:ascii="Calibri" w:hAnsi="Calibri"/>
                <w:b w:val="0"/>
                <w:color w:val="1F2937"/>
                <w:sz w:val="19"/>
              </w:rPr>
              <w:t>Documentbeheer</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T-13</w:t>
            </w:r>
          </w:p>
        </w:tc>
        <w:tc>
          <w:tcPr>
            <w:tcW w:type="dxa" w:w="2379"/>
          </w:tcPr>
          <w:p>
            <w:r/>
            <w:r>
              <w:rPr>
                <w:rFonts w:ascii="Calibri" w:hAnsi="Calibri"/>
                <w:b w:val="0"/>
                <w:color w:val="1F2937"/>
                <w:sz w:val="19"/>
              </w:rPr>
              <w:t>Sectie 2 — Definitions</w:t>
            </w:r>
          </w:p>
        </w:tc>
        <w:tc>
          <w:tcPr>
            <w:tcW w:type="dxa" w:w="2379"/>
          </w:tcPr>
          <w:p>
            <w:r/>
            <w:r>
              <w:rPr>
                <w:rFonts w:ascii="Calibri" w:hAnsi="Calibri"/>
                <w:b w:val="0"/>
                <w:color w:val="1F2937"/>
                <w:sz w:val="19"/>
              </w:rPr>
              <w:t>KMR-definities toevoegen</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T-14</w:t>
            </w:r>
          </w:p>
        </w:tc>
        <w:tc>
          <w:tcPr>
            <w:tcW w:type="dxa" w:w="2379"/>
          </w:tcPr>
          <w:p>
            <w:r/>
            <w:r>
              <w:rPr>
                <w:rFonts w:ascii="Calibri" w:hAnsi="Calibri"/>
                <w:b w:val="0"/>
                <w:color w:val="1F2937"/>
                <w:sz w:val="19"/>
              </w:rPr>
              <w:t>Sectie 3 — Roles</w:t>
            </w:r>
          </w:p>
        </w:tc>
        <w:tc>
          <w:tcPr>
            <w:tcW w:type="dxa" w:w="2379"/>
          </w:tcPr>
          <w:p>
            <w:r/>
            <w:r>
              <w:rPr>
                <w:rFonts w:ascii="Calibri" w:hAnsi="Calibri"/>
                <w:b w:val="0"/>
                <w:color w:val="1F2937"/>
                <w:sz w:val="19"/>
              </w:rPr>
              <w:t>Rol bedrijfsarts/arbodienst</w:t>
            </w:r>
          </w:p>
        </w:tc>
        <w:tc>
          <w:tcPr>
            <w:tcW w:type="dxa" w:w="2379"/>
          </w:tcPr>
          <w:p>
            <w:r/>
            <w:r>
              <w:rPr>
                <w:rFonts w:ascii="Calibri" w:hAnsi="Calibri"/>
                <w:b w:val="0"/>
                <w:color w:val="1F2937"/>
                <w:sz w:val="19"/>
              </w:rPr>
              <w:t>P1</w:t>
            </w:r>
          </w:p>
        </w:tc>
      </w:tr>
      <w:tr>
        <w:tc>
          <w:tcPr>
            <w:tcW w:type="dxa" w:w="2379"/>
          </w:tcPr>
          <w:p>
            <w:r/>
            <w:r>
              <w:rPr>
                <w:rFonts w:ascii="Calibri" w:hAnsi="Calibri"/>
                <w:b w:val="0"/>
                <w:color w:val="1F2937"/>
                <w:sz w:val="19"/>
              </w:rPr>
              <w:t>T-15</w:t>
            </w:r>
          </w:p>
        </w:tc>
        <w:tc>
          <w:tcPr>
            <w:tcW w:type="dxa" w:w="2379"/>
          </w:tcPr>
          <w:p>
            <w:r/>
            <w:r>
              <w:rPr>
                <w:rFonts w:ascii="Calibri" w:hAnsi="Calibri"/>
                <w:b w:val="0"/>
                <w:color w:val="1F2937"/>
                <w:sz w:val="19"/>
              </w:rPr>
              <w:t xml:space="preserve">Nieuw hoofdstuk — Exposure Assessment </w:t>
            </w:r>
          </w:p>
        </w:tc>
        <w:tc>
          <w:tcPr>
            <w:tcW w:type="dxa" w:w="2379"/>
          </w:tcPr>
          <w:p>
            <w:r/>
            <w:r>
              <w:rPr>
                <w:rFonts w:ascii="Calibri" w:hAnsi="Calibri"/>
                <w:b w:val="0"/>
                <w:color w:val="1F2937"/>
                <w:sz w:val="19"/>
              </w:rPr>
              <w:t>Meetlog en kalibratie</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T-16</w:t>
            </w:r>
          </w:p>
        </w:tc>
        <w:tc>
          <w:tcPr>
            <w:tcW w:type="dxa" w:w="2379"/>
          </w:tcPr>
          <w:p>
            <w:r/>
            <w:r>
              <w:rPr>
                <w:rFonts w:ascii="Calibri" w:hAnsi="Calibri"/>
                <w:b w:val="0"/>
                <w:color w:val="1F2937"/>
                <w:sz w:val="19"/>
              </w:rPr>
              <w:t>Sectie 4.5 — PBM</w:t>
            </w:r>
          </w:p>
        </w:tc>
        <w:tc>
          <w:tcPr>
            <w:tcW w:type="dxa" w:w="2379"/>
          </w:tcPr>
          <w:p>
            <w:r/>
            <w:r>
              <w:rPr>
                <w:rFonts w:ascii="Calibri" w:hAnsi="Calibri"/>
                <w:b w:val="0"/>
                <w:color w:val="1F2937"/>
                <w:sz w:val="19"/>
              </w:rPr>
              <w:t>Fit-test volgelaatsmasker</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T-17</w:t>
            </w:r>
          </w:p>
        </w:tc>
        <w:tc>
          <w:tcPr>
            <w:tcW w:type="dxa" w:w="2379"/>
          </w:tcPr>
          <w:p>
            <w:r/>
            <w:r>
              <w:rPr>
                <w:rFonts w:ascii="Calibri" w:hAnsi="Calibri"/>
                <w:b w:val="0"/>
                <w:color w:val="1F2937"/>
                <w:sz w:val="19"/>
              </w:rPr>
              <w:t>Nieuwe paragraaf — Training and Compet</w:t>
            </w:r>
          </w:p>
        </w:tc>
        <w:tc>
          <w:tcPr>
            <w:tcW w:type="dxa" w:w="2379"/>
          </w:tcPr>
          <w:p>
            <w:r/>
            <w:r>
              <w:rPr>
                <w:rFonts w:ascii="Calibri" w:hAnsi="Calibri"/>
                <w:b w:val="0"/>
                <w:color w:val="1F2937"/>
                <w:sz w:val="19"/>
              </w:rPr>
              <w:t>Trainingsprogramma</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T-18</w:t>
            </w:r>
          </w:p>
        </w:tc>
        <w:tc>
          <w:tcPr>
            <w:tcW w:type="dxa" w:w="2379"/>
          </w:tcPr>
          <w:p>
            <w:r/>
            <w:r>
              <w:rPr>
                <w:rFonts w:ascii="Calibri" w:hAnsi="Calibri"/>
                <w:b w:val="0"/>
                <w:color w:val="1F2937"/>
                <w:sz w:val="19"/>
              </w:rPr>
              <w:t>Sectie 6 — References</w:t>
            </w:r>
          </w:p>
        </w:tc>
        <w:tc>
          <w:tcPr>
            <w:tcW w:type="dxa" w:w="2379"/>
          </w:tcPr>
          <w:p>
            <w:r/>
            <w:r>
              <w:rPr>
                <w:rFonts w:ascii="Calibri" w:hAnsi="Calibri"/>
                <w:b w:val="0"/>
                <w:color w:val="1F2937"/>
                <w:sz w:val="19"/>
              </w:rPr>
              <w:t>Belgische OEL afbakenen</w:t>
            </w:r>
          </w:p>
        </w:tc>
        <w:tc>
          <w:tcPr>
            <w:tcW w:type="dxa" w:w="2379"/>
          </w:tcPr>
          <w:p>
            <w:r/>
            <w:r>
              <w:rPr>
                <w:rFonts w:ascii="Calibri" w:hAnsi="Calibri"/>
                <w:b w:val="0"/>
                <w:color w:val="1F2937"/>
                <w:sz w:val="19"/>
              </w:rPr>
              <w:t>P3</w:t>
            </w:r>
          </w:p>
        </w:tc>
      </w:tr>
      <w:tr>
        <w:tc>
          <w:tcPr>
            <w:tcW w:type="dxa" w:w="2379"/>
          </w:tcPr>
          <w:p>
            <w:r/>
            <w:r>
              <w:rPr>
                <w:rFonts w:ascii="Calibri" w:hAnsi="Calibri"/>
                <w:b w:val="0"/>
                <w:color w:val="1F2937"/>
                <w:sz w:val="19"/>
              </w:rPr>
              <w:t>T-19</w:t>
            </w:r>
          </w:p>
        </w:tc>
        <w:tc>
          <w:tcPr>
            <w:tcW w:type="dxa" w:w="2379"/>
          </w:tcPr>
          <w:p>
            <w:r/>
            <w:r>
              <w:rPr>
                <w:rFonts w:ascii="Calibri" w:hAnsi="Calibri"/>
                <w:b w:val="0"/>
                <w:color w:val="1F2937"/>
                <w:sz w:val="19"/>
              </w:rPr>
              <w:t>Sectie 6 — References</w:t>
            </w:r>
          </w:p>
        </w:tc>
        <w:tc>
          <w:tcPr>
            <w:tcW w:type="dxa" w:w="2379"/>
          </w:tcPr>
          <w:p>
            <w:r/>
            <w:r>
              <w:rPr>
                <w:rFonts w:ascii="Calibri" w:hAnsi="Calibri"/>
                <w:b w:val="0"/>
                <w:color w:val="1F2937"/>
                <w:sz w:val="19"/>
              </w:rPr>
              <w:t>‘Hoondert Study’ dateren</w:t>
            </w:r>
          </w:p>
        </w:tc>
        <w:tc>
          <w:tcPr>
            <w:tcW w:type="dxa" w:w="2379"/>
          </w:tcPr>
          <w:p>
            <w:r/>
            <w:r>
              <w:rPr>
                <w:rFonts w:ascii="Calibri" w:hAnsi="Calibri"/>
                <w:b w:val="0"/>
                <w:color w:val="1F2937"/>
                <w:sz w:val="19"/>
              </w:rPr>
              <w:t>P3</w:t>
            </w:r>
          </w:p>
        </w:tc>
      </w:tr>
      <w:tr>
        <w:tc>
          <w:tcPr>
            <w:tcW w:type="dxa" w:w="2379"/>
          </w:tcPr>
          <w:p>
            <w:r/>
            <w:r>
              <w:rPr>
                <w:rFonts w:ascii="Calibri" w:hAnsi="Calibri"/>
                <w:b w:val="0"/>
                <w:color w:val="1F2937"/>
                <w:sz w:val="19"/>
              </w:rPr>
              <w:t>T-20</w:t>
            </w:r>
          </w:p>
        </w:tc>
        <w:tc>
          <w:tcPr>
            <w:tcW w:type="dxa" w:w="2379"/>
          </w:tcPr>
          <w:p>
            <w:r/>
            <w:r>
              <w:rPr>
                <w:rFonts w:ascii="Calibri" w:hAnsi="Calibri"/>
                <w:b w:val="0"/>
                <w:color w:val="1F2937"/>
                <w:sz w:val="19"/>
              </w:rPr>
              <w:t>Sectie 1/3 — keten</w:t>
            </w:r>
          </w:p>
        </w:tc>
        <w:tc>
          <w:tcPr>
            <w:tcW w:type="dxa" w:w="2379"/>
          </w:tcPr>
          <w:p>
            <w:r/>
            <w:r>
              <w:rPr>
                <w:rFonts w:ascii="Calibri" w:hAnsi="Calibri"/>
                <w:b w:val="0"/>
                <w:color w:val="1F2937"/>
                <w:sz w:val="19"/>
              </w:rPr>
              <w:t>Subcontractors expliciet in scope</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T-21</w:t>
            </w:r>
          </w:p>
        </w:tc>
        <w:tc>
          <w:tcPr>
            <w:tcW w:type="dxa" w:w="2379"/>
          </w:tcPr>
          <w:p>
            <w:r/>
            <w:r>
              <w:rPr>
                <w:rFonts w:ascii="Calibri" w:hAnsi="Calibri"/>
                <w:b w:val="0"/>
                <w:color w:val="1F2937"/>
                <w:sz w:val="19"/>
              </w:rPr>
              <w:t>Sectie 4.3.3/4.5.2 — meldplicht</w:t>
            </w:r>
          </w:p>
        </w:tc>
        <w:tc>
          <w:tcPr>
            <w:tcW w:type="dxa" w:w="2379"/>
          </w:tcPr>
          <w:p>
            <w:r/>
            <w:r>
              <w:rPr>
                <w:rFonts w:ascii="Calibri" w:hAnsi="Calibri"/>
                <w:b w:val="0"/>
                <w:color w:val="1F2937"/>
                <w:sz w:val="19"/>
              </w:rPr>
              <w:t>OR/PVT-equivalent offshore</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T-22</w:t>
            </w:r>
          </w:p>
        </w:tc>
        <w:tc>
          <w:tcPr>
            <w:tcW w:type="dxa" w:w="2379"/>
          </w:tcPr>
          <w:p>
            <w:r/>
            <w:r>
              <w:rPr>
                <w:rFonts w:ascii="Calibri" w:hAnsi="Calibri"/>
                <w:b w:val="0"/>
                <w:color w:val="1F2937"/>
                <w:sz w:val="19"/>
              </w:rPr>
              <w:t>Sectie 4.5.1-4.5.3 — afval</w:t>
            </w:r>
          </w:p>
        </w:tc>
        <w:tc>
          <w:tcPr>
            <w:tcW w:type="dxa" w:w="2379"/>
          </w:tcPr>
          <w:p>
            <w:r/>
            <w:r>
              <w:rPr>
                <w:rFonts w:ascii="Calibri" w:hAnsi="Calibri"/>
                <w:b w:val="0"/>
                <w:color w:val="1F2937"/>
                <w:sz w:val="19"/>
              </w:rPr>
              <w:t>Zeetransport vanaf platform</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T-23</w:t>
            </w:r>
          </w:p>
        </w:tc>
        <w:tc>
          <w:tcPr>
            <w:tcW w:type="dxa" w:w="2379"/>
          </w:tcPr>
          <w:p>
            <w:r/>
            <w:r>
              <w:rPr>
                <w:rFonts w:ascii="Calibri" w:hAnsi="Calibri"/>
                <w:b w:val="0"/>
                <w:color w:val="1F2937"/>
                <w:sz w:val="19"/>
              </w:rPr>
              <w:t>Sectie 4.5 — producten</w:t>
            </w:r>
          </w:p>
        </w:tc>
        <w:tc>
          <w:tcPr>
            <w:tcW w:type="dxa" w:w="2379"/>
          </w:tcPr>
          <w:p>
            <w:r/>
            <w:r>
              <w:rPr>
                <w:rFonts w:ascii="Calibri" w:hAnsi="Calibri"/>
                <w:b w:val="0"/>
                <w:color w:val="1F2937"/>
                <w:sz w:val="19"/>
              </w:rPr>
              <w:t>CLP-etikettering en SDS</w:t>
            </w:r>
          </w:p>
        </w:tc>
        <w:tc>
          <w:tcPr>
            <w:tcW w:type="dxa" w:w="2379"/>
          </w:tcPr>
          <w:p>
            <w:r/>
            <w:r>
              <w:rPr>
                <w:rFonts w:ascii="Calibri" w:hAnsi="Calibri"/>
                <w:b w:val="0"/>
                <w:color w:val="1F2937"/>
                <w:sz w:val="19"/>
              </w:rPr>
              <w:t>P2</w:t>
            </w:r>
          </w:p>
        </w:tc>
      </w:tr>
      <w:tr>
        <w:tc>
          <w:tcPr>
            <w:tcW w:type="dxa" w:w="2379"/>
          </w:tcPr>
          <w:p>
            <w:r/>
            <w:r>
              <w:rPr>
                <w:rFonts w:ascii="Calibri" w:hAnsi="Calibri"/>
                <w:b w:val="0"/>
                <w:color w:val="1F2937"/>
                <w:sz w:val="19"/>
              </w:rPr>
              <w:t>T-24</w:t>
            </w:r>
          </w:p>
        </w:tc>
        <w:tc>
          <w:tcPr>
            <w:tcW w:type="dxa" w:w="2379"/>
          </w:tcPr>
          <w:p>
            <w:r/>
            <w:r>
              <w:rPr>
                <w:rFonts w:ascii="Calibri" w:hAnsi="Calibri"/>
                <w:b w:val="0"/>
                <w:color w:val="1F2937"/>
                <w:sz w:val="19"/>
              </w:rPr>
              <w:t>Algemeen — implementatie</w:t>
            </w:r>
          </w:p>
        </w:tc>
        <w:tc>
          <w:tcPr>
            <w:tcW w:type="dxa" w:w="2379"/>
          </w:tcPr>
          <w:p>
            <w:r/>
            <w:r>
              <w:rPr>
                <w:rFonts w:ascii="Calibri" w:hAnsi="Calibri"/>
                <w:b w:val="0"/>
                <w:color w:val="1F2937"/>
                <w:sz w:val="19"/>
              </w:rPr>
              <w:t>Cross-reference checklist</w:t>
            </w:r>
          </w:p>
        </w:tc>
        <w:tc>
          <w:tcPr>
            <w:tcW w:type="dxa" w:w="2379"/>
          </w:tcPr>
          <w:p>
            <w:r/>
            <w:r>
              <w:rPr>
                <w:rFonts w:ascii="Calibri" w:hAnsi="Calibri"/>
                <w:b w:val="0"/>
                <w:color w:val="1F2937"/>
                <w:sz w:val="19"/>
              </w:rPr>
              <w:t>P3</w:t>
            </w:r>
          </w:p>
        </w:tc>
      </w:tr>
    </w:tbl>
    <w:p>
      <w:pPr>
        <w:spacing w:after="40"/>
      </w:pPr>
    </w:p>
    <w:p>
      <w:pPr>
        <w:pStyle w:val="Heading2"/>
      </w:pPr>
      <w:r>
        <w:t>T-1 — Sectie 5 / nieuw hoofdstuk Exposure Assessment: Meetstrategie en toetsing grenswaarde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5 / nieuw hoofdstuk Exposure Assessment</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Meetstrategie en toetsing grenswaarde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Arbobesluit art. 4.2 lid 4; NEN-EN 689/482</w:t>
            </w:r>
          </w:p>
        </w:tc>
      </w:tr>
    </w:tbl>
    <w:p>
      <w:pPr>
        <w:spacing w:after="40"/>
      </w:pPr>
    </w:p>
    <w:p>
      <w:pPr>
        <w:spacing w:after="120"/>
      </w:pPr>
      <w:r>
        <w:rPr>
          <w:rFonts w:ascii="Calibri" w:hAnsi="Calibri"/>
          <w:b/>
          <w:sz w:val="22"/>
        </w:rPr>
        <w:t xml:space="preserve">Huidige situatie:  </w:t>
      </w:r>
      <w:r>
        <w:rPr>
          <w:rFonts w:ascii="Calibri" w:hAnsi="Calibri"/>
          <w:sz w:val="22"/>
        </w:rPr>
        <w:t>Het brondocument noemt in §5 (Monitoring and Review) als mogelijke monitoringactiviteiten “review of exposure monitoring data” en “exposure monitoring results” als reviewtrigger voor de procedure zelf. Er is geen meetstrategie gedefinieerd: geen baseline-/taakmetingen, geen meetfrequentie, geen bemonsteringsduur, geen toetskader (bijv. het NEN-EN 689-toetskader waarbij bij 3 metingen alle waarden &lt; 10% van de grenswaarde voldoende zekerheid biedt), geen verantwoordelijke voor metingen en geen koppeling van meetresultaten aan de 1 µg/m³-grenswaarde. Zonder metingen kan ook niet worden aangetoond dat het ALARP-doel (§1) en het P3/PBM-regime (§4.5) adequaat zijn.</w:t>
      </w:r>
    </w:p>
    <w:p>
      <w:pPr>
        <w:spacing w:after="120"/>
      </w:pPr>
      <w:r>
        <w:rPr>
          <w:rFonts w:ascii="Calibri" w:hAnsi="Calibri"/>
          <w:b/>
          <w:sz w:val="22"/>
        </w:rPr>
        <w:t xml:space="preserve">Analyse:  </w:t>
      </w:r>
      <w:r>
        <w:rPr>
          <w:rFonts w:ascii="Calibri" w:hAnsi="Calibri"/>
          <w:sz w:val="22"/>
        </w:rPr>
        <w:t>Arbobesluit art. 4.2 lid 4 — blootstelling wordt beoordeeld en gemeten volgens een meetstrategie conform NEN-EN 689; meetprocedures conform NEN-EN 482; toetsing aan de wettelijke grenswaarde van 1 µg/m³ (drempelwaarde sinds 1 maart 2017) [3].</w:t>
      </w:r>
    </w:p>
    <w:p>
      <w:pPr>
        <w:spacing w:after="120"/>
      </w:pPr>
      <w:r>
        <w:rPr>
          <w:rFonts w:ascii="Calibri" w:hAnsi="Calibri"/>
          <w:b/>
          <w:sz w:val="22"/>
        </w:rPr>
        <w:t xml:space="preserve">Voorgestelde plaatsing:  </w:t>
      </w:r>
      <w:r>
        <w:rPr>
          <w:rFonts w:ascii="Calibri" w:hAnsi="Calibri"/>
          <w:sz w:val="22"/>
        </w:rPr>
        <w:t>Herzieningsvoorstel H1.</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Voeg een nieuw hoofdstuk “Exposure Assessment &amp; Monitoring” toe: meetstrategie conform NEN-EN 689 (baseline- en taakmetingen vóór aanvang, bemonsteringsduur conform NEN-EN 482, toetsing aan 1 µg/m³, hermeet bij overschrijding of wijziging werkwijze, verantwoordelijke: QHSE Manager).</w:t>
            </w:r>
          </w:p>
        </w:tc>
      </w:tr>
    </w:tbl>
    <w:p>
      <w:pPr>
        <w:spacing w:after="40"/>
      </w:pPr>
    </w:p>
    <w:p>
      <w:pPr>
        <w:spacing w:after="120"/>
      </w:pPr>
      <w:r>
        <w:rPr>
          <w:rFonts w:ascii="Calibri" w:hAnsi="Calibri"/>
          <w:b/>
          <w:sz w:val="22"/>
        </w:rPr>
        <w:t xml:space="preserve">Onderbouwing:  </w:t>
      </w:r>
      <w:r>
        <w:rPr>
          <w:rFonts w:ascii="Calibri" w:hAnsi="Calibri"/>
          <w:sz w:val="22"/>
        </w:rPr>
        <w:t>Arbobesluit art. 4.2 lid 4; NEN-EN 689/482. Status: SPOED — vóór projectuitvoering.</w:t>
      </w:r>
    </w:p>
    <w:p>
      <w:pPr>
        <w:spacing w:after="120"/>
      </w:pPr>
      <w:r>
        <w:rPr>
          <w:rFonts w:ascii="Calibri" w:hAnsi="Calibri"/>
          <w:b/>
          <w:sz w:val="22"/>
        </w:rPr>
        <w:t xml:space="preserve">Verwacht effect na implementatie:  </w:t>
      </w:r>
      <w:r>
        <w:rPr>
          <w:rFonts w:ascii="Calibri" w:hAnsi="Calibri"/>
          <w:sz w:val="22"/>
        </w:rPr>
        <w:t>Herstelt de wettelijke conformiteit voor dit onderdeel; risicostatus gaat van P1 naar Conform en de procedure voldoet aan het Arbobesluit-KMR-regime.</w:t>
      </w:r>
    </w:p>
    <w:p>
      <w:pPr>
        <w:pStyle w:val="Heading2"/>
      </w:pPr>
      <w:r>
        <w:t>T-2 — Sectie 3 + nieuw § Health Surveillance: Arbeidsgezondheidskundig onderzoek / AGO</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3 + nieuw § Health Surveillance</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Arbeidsgezondheidskundig onderzoek / AGO</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Arbobesluit art. 4.10a</w:t>
            </w:r>
          </w:p>
        </w:tc>
      </w:tr>
    </w:tbl>
    <w:p>
      <w:pPr>
        <w:spacing w:after="40"/>
      </w:pPr>
    </w:p>
    <w:p>
      <w:pPr>
        <w:spacing w:after="120"/>
      </w:pPr>
      <w:r>
        <w:rPr>
          <w:rFonts w:ascii="Calibri" w:hAnsi="Calibri"/>
          <w:b/>
          <w:sz w:val="22"/>
        </w:rPr>
        <w:t xml:space="preserve">Huidige situatie:  </w:t>
      </w:r>
      <w:r>
        <w:rPr>
          <w:rFonts w:ascii="Calibri" w:hAnsi="Calibri"/>
          <w:sz w:val="22"/>
        </w:rPr>
        <w:t>Het brondocument bevat nergens een verwijzing naar (P)AGO, bedrijfsarts, medische keuring of gezondheidssurveillance. De rollen in §3 bevatten geen arbodienst-/bedrijfsartsrol.</w:t>
      </w:r>
    </w:p>
    <w:p>
      <w:pPr>
        <w:spacing w:after="120"/>
      </w:pPr>
      <w:r>
        <w:rPr>
          <w:rFonts w:ascii="Calibri" w:hAnsi="Calibri"/>
          <w:b/>
          <w:sz w:val="22"/>
        </w:rPr>
        <w:t xml:space="preserve">Analyse:  </w:t>
      </w:r>
      <w:r>
        <w:rPr>
          <w:rFonts w:ascii="Calibri" w:hAnsi="Calibri"/>
          <w:sz w:val="22"/>
        </w:rPr>
        <w:t>Arbobesluit art. 4.10a — werknemers die blootstelling ondervinden aan kankerverwekkende stoffen hebben recht op arbeidsgezondheidskundig onderzoek, bij voorkeur vóór aanvang van de blootstellingswerkzaamheden en periodiek daarna.</w:t>
      </w:r>
    </w:p>
    <w:p>
      <w:pPr>
        <w:spacing w:after="120"/>
      </w:pPr>
      <w:r>
        <w:rPr>
          <w:rFonts w:ascii="Calibri" w:hAnsi="Calibri"/>
          <w:b/>
          <w:sz w:val="22"/>
        </w:rPr>
        <w:t xml:space="preserve">Voorgestelde plaatsing:  </w:t>
      </w:r>
      <w:r>
        <w:rPr>
          <w:rFonts w:ascii="Calibri" w:hAnsi="Calibri"/>
          <w:sz w:val="22"/>
        </w:rPr>
        <w:t>Herzieningsvoorstel H2.</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Voeg een paragraaf “Health Surveillance” toe: recht op (P)AGO voor alle aan Cr(VI) blootgestelde (inclusief mogelijkerwijs blootgestelde) werknemers vóór aanvang en periodiek; rol bedrijfsarts opnemen in §3.</w:t>
            </w:r>
          </w:p>
        </w:tc>
      </w:tr>
    </w:tbl>
    <w:p>
      <w:pPr>
        <w:spacing w:after="40"/>
      </w:pPr>
    </w:p>
    <w:p>
      <w:pPr>
        <w:spacing w:after="120"/>
      </w:pPr>
      <w:r>
        <w:rPr>
          <w:rFonts w:ascii="Calibri" w:hAnsi="Calibri"/>
          <w:b/>
          <w:sz w:val="22"/>
        </w:rPr>
        <w:t xml:space="preserve">Onderbouwing:  </w:t>
      </w:r>
      <w:r>
        <w:rPr>
          <w:rFonts w:ascii="Calibri" w:hAnsi="Calibri"/>
          <w:sz w:val="22"/>
        </w:rPr>
        <w:t>Arbobesluit art. 4.10a. Status: SPOED — vóór projectuitvoering.</w:t>
      </w:r>
    </w:p>
    <w:p>
      <w:pPr>
        <w:spacing w:after="120"/>
      </w:pPr>
      <w:r>
        <w:rPr>
          <w:rFonts w:ascii="Calibri" w:hAnsi="Calibri"/>
          <w:b/>
          <w:sz w:val="22"/>
        </w:rPr>
        <w:t xml:space="preserve">Verwacht effect na implementatie:  </w:t>
      </w:r>
      <w:r>
        <w:rPr>
          <w:rFonts w:ascii="Calibri" w:hAnsi="Calibri"/>
          <w:sz w:val="22"/>
        </w:rPr>
        <w:t>Herstelt de wettelijke conformiteit voor dit onderdeel; risicostatus gaat van P1 naar Conform en de procedure voldoet aan het Arbobesluit-KMR-regime.</w:t>
      </w:r>
    </w:p>
    <w:p>
      <w:pPr>
        <w:pStyle w:val="Heading2"/>
      </w:pPr>
      <w:r>
        <w:t>T-3 — Nieuwe paragraaf Record Retention: Bewaartermijn blootstellingsgegevens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T-3</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Nieuwe paragraaf Record Retention</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Bewaartermijn blootstellingsgegevens</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Arbobesluit art. 4.10c</w:t>
            </w:r>
          </w:p>
        </w:tc>
      </w:tr>
    </w:tbl>
    <w:p>
      <w:pPr>
        <w:spacing w:after="40"/>
      </w:pPr>
    </w:p>
    <w:p>
      <w:pPr>
        <w:spacing w:after="120"/>
      </w:pPr>
      <w:r>
        <w:rPr>
          <w:rFonts w:ascii="Calibri" w:hAnsi="Calibri"/>
          <w:b/>
          <w:sz w:val="22"/>
        </w:rPr>
        <w:t xml:space="preserve">Huidige situatie:  </w:t>
      </w:r>
      <w:r>
        <w:rPr>
          <w:rFonts w:ascii="Calibri" w:hAnsi="Calibri"/>
          <w:sz w:val="22"/>
        </w:rPr>
        <w:t>Geen enkele bepaling over registratie-, bewaar- of overdrachtplicht van blootstellings- en meetgegevens. Ook de projectafschaling (decommissioning = tijdelijk project) maakt een overdrachtsregeling naar het KOO-dossier noodzakelijk.</w:t>
      </w:r>
    </w:p>
    <w:p>
      <w:pPr>
        <w:spacing w:after="120"/>
      </w:pPr>
      <w:r>
        <w:rPr>
          <w:rFonts w:ascii="Calibri" w:hAnsi="Calibri"/>
          <w:b/>
          <w:sz w:val="22"/>
        </w:rPr>
        <w:t xml:space="preserve">Analyse:  </w:t>
      </w:r>
      <w:r>
        <w:rPr>
          <w:rFonts w:ascii="Calibri" w:hAnsi="Calibri"/>
          <w:sz w:val="22"/>
        </w:rPr>
        <w:t>Arbobesluit art. 4.10c — gegevens over blootstelling en meetresultaten worden bewaard en beschikbaar gehouden gedurende 40 jaar na beëindiging van de blootstelling [3].</w:t>
      </w:r>
    </w:p>
    <w:p>
      <w:pPr>
        <w:spacing w:after="120"/>
      </w:pPr>
      <w:r>
        <w:rPr>
          <w:rFonts w:ascii="Calibri" w:hAnsi="Calibri"/>
          <w:b/>
          <w:sz w:val="22"/>
        </w:rPr>
        <w:t xml:space="preserve">Voorgestelde plaatsing:  </w:t>
      </w:r>
      <w:r>
        <w:rPr>
          <w:rFonts w:ascii="Calibri" w:hAnsi="Calibri"/>
          <w:sz w:val="22"/>
        </w:rPr>
        <w:t>Herzieningsvoorstel H3.</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Leg een bewaar- en overdrachtsregeling vast: blootstellingsregistraties, meetlogboeken en de lijst van H4 gedurende 40 jaar na laatste blootstelling bewaren (ook na projecteinde en bij uittocht van personeel).</w:t>
            </w:r>
          </w:p>
        </w:tc>
      </w:tr>
    </w:tbl>
    <w:p>
      <w:pPr>
        <w:spacing w:after="40"/>
      </w:pPr>
    </w:p>
    <w:p>
      <w:pPr>
        <w:spacing w:after="120"/>
      </w:pPr>
      <w:r>
        <w:rPr>
          <w:rFonts w:ascii="Calibri" w:hAnsi="Calibri"/>
          <w:b/>
          <w:sz w:val="22"/>
        </w:rPr>
        <w:t xml:space="preserve">Onderbouwing:  </w:t>
      </w:r>
      <w:r>
        <w:rPr>
          <w:rFonts w:ascii="Calibri" w:hAnsi="Calibri"/>
          <w:sz w:val="22"/>
        </w:rPr>
        <w:t>Arbobesluit art. 4.10c. Status: SPOED — vóór projectuitvoering.</w:t>
      </w:r>
    </w:p>
    <w:p>
      <w:pPr>
        <w:spacing w:after="120"/>
      </w:pPr>
      <w:r>
        <w:rPr>
          <w:rFonts w:ascii="Calibri" w:hAnsi="Calibri"/>
          <w:b/>
          <w:sz w:val="22"/>
        </w:rPr>
        <w:t xml:space="preserve">Verwacht effect na implementatie:  </w:t>
      </w:r>
      <w:r>
        <w:rPr>
          <w:rFonts w:ascii="Calibri" w:hAnsi="Calibri"/>
          <w:sz w:val="22"/>
        </w:rPr>
        <w:t>Herstelt de wettelijke conformiteit voor dit onderdeel; risicostatus gaat van P1 naar Conform en de procedure voldoet aan het Arbobesluit-KMR-regime.</w:t>
      </w:r>
    </w:p>
    <w:p>
      <w:pPr>
        <w:pStyle w:val="Heading2"/>
      </w:pPr>
      <w:r>
        <w:t>T-4 — Nieuwe paragraaf Exposure Register: Lijst van blootgestelde werknemers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T-4</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Nieuwe paragraaf Exposure Register</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Lijst van blootgestelde werknemers</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Arbobesluit art. 4.15; AI-77 §6.1.3</w:t>
            </w:r>
          </w:p>
        </w:tc>
      </w:tr>
    </w:tbl>
    <w:p>
      <w:pPr>
        <w:spacing w:after="40"/>
      </w:pPr>
    </w:p>
    <w:p>
      <w:pPr>
        <w:spacing w:after="120"/>
      </w:pPr>
      <w:r>
        <w:rPr>
          <w:rFonts w:ascii="Calibri" w:hAnsi="Calibri"/>
          <w:b/>
          <w:sz w:val="22"/>
        </w:rPr>
        <w:t xml:space="preserve">Huidige situatie:  </w:t>
      </w:r>
      <w:r>
        <w:rPr>
          <w:rFonts w:ascii="Calibri" w:hAnsi="Calibri"/>
          <w:sz w:val="22"/>
        </w:rPr>
        <w:t>Volledig afwezig. Geen registratieplicht van blootgesteld personeel (eigen personeel én subcontractors — §3 verplicht contractors wel tot naleving van de procedure, waardoor de lijstverplichting doorloopt in de keten), geen inzagerecht-regeling.</w:t>
      </w:r>
    </w:p>
    <w:p>
      <w:pPr>
        <w:spacing w:after="120"/>
      </w:pPr>
      <w:r>
        <w:rPr>
          <w:rFonts w:ascii="Calibri" w:hAnsi="Calibri"/>
          <w:b/>
          <w:sz w:val="22"/>
        </w:rPr>
        <w:t xml:space="preserve">Analyse:  </w:t>
      </w:r>
      <w:r>
        <w:rPr>
          <w:rFonts w:ascii="Calibri" w:hAnsi="Calibri"/>
          <w:sz w:val="22"/>
        </w:rPr>
        <w:t>Arbobesluit art. 4.15 — een lijst wordt bijgehouden van werknemers die worden of kunnen worden blootgesteld, onder vermelding van de ondergane blootstelling; werknemers hebben inzage- en afschriftrecht [3].</w:t>
      </w:r>
    </w:p>
    <w:p>
      <w:pPr>
        <w:spacing w:after="120"/>
      </w:pPr>
      <w:r>
        <w:rPr>
          <w:rFonts w:ascii="Calibri" w:hAnsi="Calibri"/>
          <w:b/>
          <w:sz w:val="22"/>
        </w:rPr>
        <w:t xml:space="preserve">Voorgestelde plaatsing:  </w:t>
      </w:r>
      <w:r>
        <w:rPr>
          <w:rFonts w:ascii="Calibri" w:hAnsi="Calibri"/>
          <w:sz w:val="22"/>
        </w:rPr>
        <w:t>Herzieningsvoorstel H4.</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Voeg een registratieparagraaf “Exposure Register” toe: lijst van (mogelijk) blootgestelde werknemers en subcontractors met aard, mate en duur van blootstelling; inzage- en afschriftrecht; eigenaar: QHSE Manager.</w:t>
            </w:r>
          </w:p>
        </w:tc>
      </w:tr>
    </w:tbl>
    <w:p>
      <w:pPr>
        <w:spacing w:after="40"/>
      </w:pPr>
    </w:p>
    <w:p>
      <w:pPr>
        <w:spacing w:after="120"/>
      </w:pPr>
      <w:r>
        <w:rPr>
          <w:rFonts w:ascii="Calibri" w:hAnsi="Calibri"/>
          <w:b/>
          <w:sz w:val="22"/>
        </w:rPr>
        <w:t xml:space="preserve">Onderbouwing:  </w:t>
      </w:r>
      <w:r>
        <w:rPr>
          <w:rFonts w:ascii="Calibri" w:hAnsi="Calibri"/>
          <w:sz w:val="22"/>
        </w:rPr>
        <w:t>Arbobesluit art. 4.15; AI-77 §6.1.3. Status: SPOED — vóór projectuitvoering.</w:t>
      </w:r>
    </w:p>
    <w:p>
      <w:pPr>
        <w:spacing w:after="120"/>
      </w:pPr>
      <w:r>
        <w:rPr>
          <w:rFonts w:ascii="Calibri" w:hAnsi="Calibri"/>
          <w:b/>
          <w:sz w:val="22"/>
        </w:rPr>
        <w:t xml:space="preserve">Verwacht effect na implementatie:  </w:t>
      </w:r>
      <w:r>
        <w:rPr>
          <w:rFonts w:ascii="Calibri" w:hAnsi="Calibri"/>
          <w:sz w:val="22"/>
        </w:rPr>
        <w:t>Herstelt de wettelijke conformiteit voor dit onderdeel; risicostatus gaat van P1 naar Conform en de procedure voldoet aan het Arbobesluit-KMR-regime.</w:t>
      </w:r>
    </w:p>
    <w:p>
      <w:pPr>
        <w:pStyle w:val="Heading2"/>
      </w:pPr>
      <w:r>
        <w:t>T-5 — Sectie 4.4 + RI&amp;E-verwijzing: RI&amp;E inclusief tox-elementen en vervangingsonderbouwing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T-5</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4.4 + RI&amp;E-verwijzing</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RI&amp;E inclusief tox-elementen en vervangingsonderbouwing</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Arbobesluit art. 4.13 i.c.m. 4.2 lid 1; AI-77</w:t>
            </w:r>
          </w:p>
        </w:tc>
      </w:tr>
    </w:tbl>
    <w:p>
      <w:pPr>
        <w:spacing w:after="40"/>
      </w:pPr>
    </w:p>
    <w:p>
      <w:pPr>
        <w:spacing w:after="120"/>
      </w:pPr>
      <w:r>
        <w:rPr>
          <w:rFonts w:ascii="Calibri" w:hAnsi="Calibri"/>
          <w:b/>
          <w:sz w:val="22"/>
        </w:rPr>
        <w:t xml:space="preserve">Huidige situatie:  </w:t>
      </w:r>
      <w:r>
        <w:rPr>
          <w:rFonts w:ascii="Calibri" w:hAnsi="Calibri"/>
          <w:sz w:val="22"/>
        </w:rPr>
        <w:t>§4.4 verplicht dat risico's worden “addressed in the relevant TRA/JSA and Permit to Work”. Een TRA/JSA is echter een taakgebonden risicobeoordeling en vult de RI&amp;E-registratieplicht (met aard/mate/duur, hoeveelheden, aantal blootgestelde werknemers, arbeidsvorm) niet in. Een vervangings-/bronmaatregeloverweging (bijv. “koude snijtechniek i.p.v. thermisch snijden”) ontbreekt — terwijl §5 (Continuous Improvement) alternatieven voor perslucht en vacuumsystemen wel overweegt, wordt de substitutie-/bronmaatregelafweging nergens als verplichte documentatiestap verankerd.</w:t>
      </w:r>
    </w:p>
    <w:p>
      <w:pPr>
        <w:spacing w:after="120"/>
      </w:pPr>
      <w:r>
        <w:rPr>
          <w:rFonts w:ascii="Calibri" w:hAnsi="Calibri"/>
          <w:b/>
          <w:sz w:val="22"/>
        </w:rPr>
        <w:t xml:space="preserve">Analyse:  </w:t>
      </w:r>
      <w:r>
        <w:rPr>
          <w:rFonts w:ascii="Calibri" w:hAnsi="Calibri"/>
          <w:sz w:val="22"/>
        </w:rPr>
        <w:t>Arbobesluit art. 4.13 — de werkgever documenteert in de RI&amp;E onder meer aard, mate en duur van de blootstelling (art. 4.2 lid 1), de genomen maatregelen, en de gevallen waarin kankerverwekkende stoffen worden vervangen dan wel waarom vervanging (nog) niet mogelijk is. Voor chroom-6 geldt als belangrijkste inspanningsverplichting het vervangen van de stof [3].</w:t>
      </w:r>
    </w:p>
    <w:p>
      <w:pPr>
        <w:spacing w:after="120"/>
      </w:pPr>
      <w:r>
        <w:rPr>
          <w:rFonts w:ascii="Calibri" w:hAnsi="Calibri"/>
          <w:b/>
          <w:sz w:val="22"/>
        </w:rPr>
        <w:t xml:space="preserve">Voorgestelde plaatsing:  </w:t>
      </w:r>
      <w:r>
        <w:rPr>
          <w:rFonts w:ascii="Calibri" w:hAnsi="Calibri"/>
          <w:sz w:val="22"/>
        </w:rPr>
        <w:t>Herzieningsvoorstel H5.</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Maak de RI&amp;E-koppeling expliciet: verwijzing naar en eis dat de project-RI&amp;E de elementen aard/mate/duur, hoeveelheden, aantal betrokkenen en arbeidsvorm bevat; documenteer de vervangings-/bronmaatregelafweging (waaronder de keuze koude vs. thermische snijtechnieken) met onderbouwing.</w:t>
            </w:r>
          </w:p>
        </w:tc>
      </w:tr>
    </w:tbl>
    <w:p>
      <w:pPr>
        <w:spacing w:after="40"/>
      </w:pPr>
    </w:p>
    <w:p>
      <w:pPr>
        <w:spacing w:after="120"/>
      </w:pPr>
      <w:r>
        <w:rPr>
          <w:rFonts w:ascii="Calibri" w:hAnsi="Calibri"/>
          <w:b/>
          <w:sz w:val="22"/>
        </w:rPr>
        <w:t xml:space="preserve">Onderbouwing:  </w:t>
      </w:r>
      <w:r>
        <w:rPr>
          <w:rFonts w:ascii="Calibri" w:hAnsi="Calibri"/>
          <w:sz w:val="22"/>
        </w:rPr>
        <w:t>Arbobesluit art. 4.13 i.c.m. 4.2 lid 1; AI-77. Status: SPOED — vóór projectuitvoering.</w:t>
      </w:r>
    </w:p>
    <w:p>
      <w:pPr>
        <w:spacing w:after="120"/>
      </w:pPr>
      <w:r>
        <w:rPr>
          <w:rFonts w:ascii="Calibri" w:hAnsi="Calibri"/>
          <w:b/>
          <w:sz w:val="22"/>
        </w:rPr>
        <w:t xml:space="preserve">Verwacht effect na implementatie:  </w:t>
      </w:r>
      <w:r>
        <w:rPr>
          <w:rFonts w:ascii="Calibri" w:hAnsi="Calibri"/>
          <w:sz w:val="22"/>
        </w:rPr>
        <w:t>Herstelt de wettelijke conformiteit voor dit onderdeel; risicostatus gaat van P1 naar Conform en de procedure voldoet aan het Arbobesluit-KMR-regime.</w:t>
      </w:r>
    </w:p>
    <w:p>
      <w:pPr>
        <w:pStyle w:val="Heading2"/>
      </w:pPr>
      <w:r>
        <w:t>T-6 — Sectie 4.3.3/4.5.2: Abnormale blootstelling en OR/PVT-informering</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T-6</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4.3.3/4.5.2</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Abnormale blootstelling en OR/PVT-informering</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Arbobesluit art. 4.21</w:t>
            </w:r>
          </w:p>
        </w:tc>
      </w:tr>
    </w:tbl>
    <w:p>
      <w:pPr>
        <w:spacing w:after="40"/>
      </w:pPr>
    </w:p>
    <w:p>
      <w:pPr>
        <w:spacing w:after="120"/>
      </w:pPr>
      <w:r>
        <w:rPr>
          <w:rFonts w:ascii="Calibri" w:hAnsi="Calibri"/>
          <w:b/>
          <w:sz w:val="22"/>
        </w:rPr>
        <w:t xml:space="preserve">Huidige situatie:  </w:t>
      </w:r>
      <w:r>
        <w:rPr>
          <w:rFonts w:ascii="Calibri" w:hAnsi="Calibri"/>
          <w:sz w:val="22"/>
        </w:rPr>
        <w:t>§4.3.3 en §4.5.2 bevatten een goede meldplicht aan de leidinggevende (“stop work and inform supervision”). Het formele kanaal naar OR/PVT (of PVT-equivalent offshore) en de diagnose-/onderzoeksstap na (mogelijke) overschrijding ontbreken.</w:t>
      </w:r>
    </w:p>
    <w:p>
      <w:pPr>
        <w:spacing w:after="120"/>
      </w:pPr>
      <w:r>
        <w:rPr>
          <w:rFonts w:ascii="Calibri" w:hAnsi="Calibri"/>
          <w:b/>
          <w:sz w:val="22"/>
        </w:rPr>
        <w:t xml:space="preserve">Analyse:  </w:t>
      </w:r>
      <w:r>
        <w:rPr>
          <w:rFonts w:ascii="Calibri" w:hAnsi="Calibri"/>
          <w:sz w:val="22"/>
        </w:rPr>
        <w:t>Arbobesluit art. 4.21 — bij abnormale blootstelling (onder andere overschrijding grenswaarde, incidenten) worden werknemers onmiddellijk geïnformeerd, maatregelen genomen en de OR/PVT ingeschakeld; bij plan van aanpak rond kankerverwekkende stoffen is OR/PVT-betrokkenheid vereist (art. 4.13).</w:t>
      </w:r>
    </w:p>
    <w:p>
      <w:pPr>
        <w:spacing w:after="120"/>
      </w:pPr>
      <w:r>
        <w:rPr>
          <w:rFonts w:ascii="Calibri" w:hAnsi="Calibri"/>
          <w:b/>
          <w:sz w:val="22"/>
        </w:rPr>
        <w:t xml:space="preserve">Voorgestelde plaatsing:  </w:t>
      </w:r>
      <w:r>
        <w:rPr>
          <w:rFonts w:ascii="Calibri" w:hAnsi="Calibri"/>
          <w:sz w:val="22"/>
        </w:rPr>
        <w:t>Herzieningsvoorstel H6.</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Breid §4.3.3/§4.5.2 uit met een calamiteiten-/abnormale-blootstellingsprotocol: onmiddellijke informatieverplichting aan betrokken werknemers, onderzoek naar oorzaak, en informering van OR/PVT (of offshore PVT-equivalent).</w:t>
            </w:r>
          </w:p>
        </w:tc>
      </w:tr>
    </w:tbl>
    <w:p>
      <w:pPr>
        <w:spacing w:after="40"/>
      </w:pPr>
    </w:p>
    <w:p>
      <w:pPr>
        <w:spacing w:after="120"/>
      </w:pPr>
      <w:r>
        <w:rPr>
          <w:rFonts w:ascii="Calibri" w:hAnsi="Calibri"/>
          <w:b/>
          <w:sz w:val="22"/>
        </w:rPr>
        <w:t xml:space="preserve">Onderbouwing:  </w:t>
      </w:r>
      <w:r>
        <w:rPr>
          <w:rFonts w:ascii="Calibri" w:hAnsi="Calibri"/>
          <w:sz w:val="22"/>
        </w:rPr>
        <w:t>Arbobesluit art. 4.21.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T-7 — Sectie 6 References: REACH Bijlage XIV</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T-7</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6 References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REACH Bijlage XIV</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REACH (EG) 1907/2006, Bijlage XIV</w:t>
            </w:r>
          </w:p>
        </w:tc>
      </w:tr>
    </w:tbl>
    <w:p>
      <w:pPr>
        <w:spacing w:after="40"/>
      </w:pPr>
    </w:p>
    <w:p>
      <w:pPr>
        <w:spacing w:after="120"/>
      </w:pPr>
      <w:r>
        <w:rPr>
          <w:rFonts w:ascii="Calibri" w:hAnsi="Calibri"/>
          <w:b/>
          <w:sz w:val="22"/>
        </w:rPr>
        <w:t xml:space="preserve">Huidige situatie:  </w:t>
      </w:r>
      <w:r>
        <w:rPr>
          <w:rFonts w:ascii="Calibri" w:hAnsi="Calibri"/>
          <w:sz w:val="22"/>
        </w:rPr>
        <w:t>Niet in de referentielijst (§6) opgenomen. Voor puur verwijderingswerk is de REACH-autorisatieverplichting beperkt relevant (geen doelbewust gebruik/marketing van Cr(VI)-stoffen), maar bij bijkomstig gebruik van Cr(VI)-houdende producten (bijv. touch-up primers, passiveringsmiddelen tijdens voorbereidings-/reparatiewerkzaamheden) is de autorisatie- respectievelijk vervangingscheck relevant. Minimaal verdient een toelichting in §6 plaats.</w:t>
      </w:r>
    </w:p>
    <w:p>
      <w:pPr>
        <w:spacing w:after="120"/>
      </w:pPr>
      <w:r>
        <w:rPr>
          <w:rFonts w:ascii="Calibri" w:hAnsi="Calibri"/>
          <w:b/>
          <w:sz w:val="22"/>
        </w:rPr>
        <w:t xml:space="preserve">Analyse:  </w:t>
      </w:r>
      <w:r>
        <w:rPr>
          <w:rFonts w:ascii="Calibri" w:hAnsi="Calibri"/>
          <w:sz w:val="22"/>
        </w:rPr>
        <w:t>REACH Verordening (EG) 1907/2006, Bijlage XIV — chroomtrioxide en diverse zuurchromaten/zichromaten zijn opgenomen op de autorisatielijst (“sunset dates” passeerden in 2017/2019); gebruik zonder autorisatie is verboden.</w:t>
      </w:r>
    </w:p>
    <w:p>
      <w:pPr>
        <w:spacing w:after="120"/>
      </w:pPr>
      <w:r>
        <w:rPr>
          <w:rFonts w:ascii="Calibri" w:hAnsi="Calibri"/>
          <w:b/>
          <w:sz w:val="22"/>
        </w:rPr>
        <w:t xml:space="preserve">Voorgestelde plaatsing:  </w:t>
      </w:r>
      <w:r>
        <w:rPr>
          <w:rFonts w:ascii="Calibri" w:hAnsi="Calibri"/>
          <w:sz w:val="22"/>
        </w:rPr>
        <w:t>Herzieningsvoorstel H7.</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Neem in §6 op: REACH Bijlage XIV (autorisatie Cr(VI)-verbindingen) met afbakening wanneer dit voor KOO-werkzaamheden geldt (gebruik van Cr(VI)-houdende producten).</w:t>
            </w:r>
          </w:p>
        </w:tc>
      </w:tr>
    </w:tbl>
    <w:p>
      <w:pPr>
        <w:spacing w:after="40"/>
      </w:pPr>
    </w:p>
    <w:p>
      <w:pPr>
        <w:spacing w:after="120"/>
      </w:pPr>
      <w:r>
        <w:rPr>
          <w:rFonts w:ascii="Calibri" w:hAnsi="Calibri"/>
          <w:b/>
          <w:sz w:val="22"/>
        </w:rPr>
        <w:t xml:space="preserve">Onderbouwing:  </w:t>
      </w:r>
      <w:r>
        <w:rPr>
          <w:rFonts w:ascii="Calibri" w:hAnsi="Calibri"/>
          <w:sz w:val="22"/>
        </w:rPr>
        <w:t>REACH (EG) 1907/2006, Bijlage XIV.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T-8 — Sectie 4.5.1-4.5.3: Afvalstroom en afvoer (Bal / Wet milieubeheer)</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T-8</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4.5.1-4.5.3</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Afvalstroom en afvoer (Bal / Wet milieubeheer)</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Bal; Wet milieubeheer / LAP</w:t>
            </w:r>
          </w:p>
        </w:tc>
      </w:tr>
    </w:tbl>
    <w:p>
      <w:pPr>
        <w:spacing w:after="40"/>
      </w:pPr>
    </w:p>
    <w:p>
      <w:pPr>
        <w:spacing w:after="120"/>
      </w:pPr>
      <w:r>
        <w:rPr>
          <w:rFonts w:ascii="Calibri" w:hAnsi="Calibri"/>
          <w:b/>
          <w:sz w:val="22"/>
        </w:rPr>
        <w:t xml:space="preserve">Huidige situatie:  </w:t>
      </w:r>
      <w:r>
        <w:rPr>
          <w:rFonts w:ascii="Calibri" w:hAnsi="Calibri"/>
          <w:sz w:val="22"/>
        </w:rPr>
        <w:t>§4.5.1–4.5.3 verplicht disposal “as hazardous or chemical waste in accordance with applicable waste management requirements”. Dat is een juist maar generiek beginsel; er is geen afvalstroomklassering, geen registratie/afgiftebewijs-regeling, geen verpakkings-/etiketteringseis (offshore inclusief zeetransport) en geen verantwoordelijke voor afvalstroombeheer benoemd.</w:t>
      </w:r>
    </w:p>
    <w:p>
      <w:pPr>
        <w:spacing w:after="120"/>
      </w:pPr>
      <w:r>
        <w:rPr>
          <w:rFonts w:ascii="Calibri" w:hAnsi="Calibri"/>
          <w:b/>
          <w:sz w:val="22"/>
        </w:rPr>
        <w:t xml:space="preserve">Analyse:  </w:t>
      </w:r>
      <w:r>
        <w:rPr>
          <w:rFonts w:ascii="Calibri" w:hAnsi="Calibri"/>
          <w:sz w:val="22"/>
        </w:rPr>
        <w:t>Besluit activiteiten leefomgeving (Bal) en Wet milieubeheer / Landelijk Afvalbeheerplan — gevaarlijk afval (Cr(VI)-gecontamineerd PBM, reinigingsresten, filters) vereist afvalstroomherkenning, gescheiden inzameling en gecontroleerde afvoer/verwerking door erkende afzender-ontvangers.</w:t>
      </w:r>
    </w:p>
    <w:p>
      <w:pPr>
        <w:spacing w:after="120"/>
      </w:pPr>
      <w:r>
        <w:rPr>
          <w:rFonts w:ascii="Calibri" w:hAnsi="Calibri"/>
          <w:b/>
          <w:sz w:val="22"/>
        </w:rPr>
        <w:t xml:space="preserve">Voorgestelde plaatsing:  </w:t>
      </w:r>
      <w:r>
        <w:rPr>
          <w:rFonts w:ascii="Calibri" w:hAnsi="Calibri"/>
          <w:sz w:val="22"/>
        </w:rPr>
        <w:t>Herzieningsvoorstel H8.</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Werk de afvalparagraaf uit: afvalstroomklassering van Cr(VI)-gecontamineerd afval (PBM, filters, reinigingsresten), verpakkings-/etiketteringseisen, bewijslast (afgiftebewijzen) en verantwoordelijke; incl. zeetransport vanaf platform.</w:t>
            </w:r>
          </w:p>
        </w:tc>
      </w:tr>
    </w:tbl>
    <w:p>
      <w:pPr>
        <w:spacing w:after="40"/>
      </w:pPr>
    </w:p>
    <w:p>
      <w:pPr>
        <w:spacing w:after="120"/>
      </w:pPr>
      <w:r>
        <w:rPr>
          <w:rFonts w:ascii="Calibri" w:hAnsi="Calibri"/>
          <w:b/>
          <w:sz w:val="22"/>
        </w:rPr>
        <w:t xml:space="preserve">Onderbouwing:  </w:t>
      </w:r>
      <w:r>
        <w:rPr>
          <w:rFonts w:ascii="Calibri" w:hAnsi="Calibri"/>
          <w:sz w:val="22"/>
        </w:rPr>
        <w:t>Bal; Wet milieubeheer / LAP.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T-9 — Sectie 6 References: Arbo-Informatiebladen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T-9</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6 References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Arbo-Informatiebladen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Arbo-Informatiebladen SZW</w:t>
            </w:r>
          </w:p>
        </w:tc>
      </w:tr>
    </w:tbl>
    <w:p>
      <w:pPr>
        <w:spacing w:after="40"/>
      </w:pPr>
    </w:p>
    <w:p>
      <w:pPr>
        <w:spacing w:after="120"/>
      </w:pPr>
      <w:r>
        <w:rPr>
          <w:rFonts w:ascii="Calibri" w:hAnsi="Calibri"/>
          <w:b/>
          <w:sz w:val="22"/>
        </w:rPr>
        <w:t xml:space="preserve">Huidige situatie:  </w:t>
      </w:r>
      <w:r>
        <w:rPr>
          <w:rFonts w:ascii="Calibri" w:hAnsi="Calibri"/>
          <w:sz w:val="22"/>
        </w:rPr>
        <w:t>Niet opgenomen in §6. De inhoud van het brondocument is inhoudelijk grotendeels congruent met AI-77 (gezondheidseffecten, routes, beheersmaatregelen), maar door de ontbrekende referenties is de afstemming niet aantoonbaar en mist de redacteur het toetsingskader voor toekomstige revisies.</w:t>
      </w:r>
    </w:p>
    <w:p>
      <w:pPr>
        <w:spacing w:after="120"/>
      </w:pPr>
      <w:r>
        <w:rPr>
          <w:rFonts w:ascii="Calibri" w:hAnsi="Calibri"/>
          <w:b/>
          <w:sz w:val="22"/>
        </w:rPr>
        <w:t xml:space="preserve">Analyse:  </w:t>
      </w:r>
      <w:r>
        <w:rPr>
          <w:rFonts w:ascii="Calibri" w:hAnsi="Calibri"/>
          <w:sz w:val="22"/>
        </w:rPr>
        <w:t>AI-blad 67 (kankerverwekkende stoffen — implementatiekader van Arbobesluit afd. 3), AI-blad 31 (gezondheidsrisico's gevaarlijke stoffen), AI-blad 18 (PBM) en AI-blad 77 (chroom-6).</w:t>
      </w:r>
    </w:p>
    <w:p>
      <w:pPr>
        <w:spacing w:after="120"/>
      </w:pPr>
      <w:r>
        <w:rPr>
          <w:rFonts w:ascii="Calibri" w:hAnsi="Calibri"/>
          <w:b/>
          <w:sz w:val="22"/>
        </w:rPr>
        <w:t xml:space="preserve">Voorgestelde plaatsing:  </w:t>
      </w:r>
      <w:r>
        <w:rPr>
          <w:rFonts w:ascii="Calibri" w:hAnsi="Calibri"/>
          <w:sz w:val="22"/>
        </w:rPr>
        <w:t>Herzieningsvoorstel H9.</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Vul §6 aan met de AI-bladen: AI-blad 67 (kankerverwekkende stoffen), AI-blad 31 (gezondheidsrisico's gevaarlijke stoffen), AI-blad 18 (PBM) en AI-blad 77 (chroom-6) als toetsingskader voor revisies.</w:t>
            </w:r>
          </w:p>
        </w:tc>
      </w:tr>
    </w:tbl>
    <w:p>
      <w:pPr>
        <w:spacing w:after="40"/>
      </w:pPr>
    </w:p>
    <w:p>
      <w:pPr>
        <w:spacing w:after="120"/>
      </w:pPr>
      <w:r>
        <w:rPr>
          <w:rFonts w:ascii="Calibri" w:hAnsi="Calibri"/>
          <w:b/>
          <w:sz w:val="22"/>
        </w:rPr>
        <w:t xml:space="preserve">Onderbouwing:  </w:t>
      </w:r>
      <w:r>
        <w:rPr>
          <w:rFonts w:ascii="Calibri" w:hAnsi="Calibri"/>
          <w:sz w:val="22"/>
        </w:rPr>
        <w:t>Arbo-Informatiebladen SZW.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T-10 — Nieuwe bijlage beheersmaatregelenmatrix: Beheersregime Chroom-6</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T-10</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Nieuwe bijlage beheersmaatregelenmatrix</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Beheersregime Chroom-6</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Beheersregime Chroom-6 (RWS/Defensie/ProRail/RVB)</w:t>
            </w:r>
          </w:p>
        </w:tc>
      </w:tr>
    </w:tbl>
    <w:p>
      <w:pPr>
        <w:spacing w:after="40"/>
      </w:pPr>
    </w:p>
    <w:p>
      <w:pPr>
        <w:spacing w:after="120"/>
      </w:pPr>
      <w:r>
        <w:rPr>
          <w:rFonts w:ascii="Calibri" w:hAnsi="Calibri"/>
          <w:b/>
          <w:sz w:val="22"/>
        </w:rPr>
        <w:t xml:space="preserve">Huidige situatie:  </w:t>
      </w:r>
      <w:r>
        <w:rPr>
          <w:rFonts w:ascii="Calibri" w:hAnsi="Calibri"/>
          <w:sz w:val="22"/>
        </w:rPr>
        <w:t>§6 noemt “Dutch 'Beheersregime Chroom-6'” in de referentielijst — juist en relevant. Het regime wordt echter niet operationeel vertaald (geen beheersmaatregelenmatrix, geen koppeling aan de §§4.5.1–4.5.3).</w:t>
      </w:r>
    </w:p>
    <w:p>
      <w:pPr>
        <w:spacing w:after="120"/>
      </w:pPr>
      <w:r>
        <w:rPr>
          <w:rFonts w:ascii="Calibri" w:hAnsi="Calibri"/>
          <w:b/>
          <w:sz w:val="22"/>
        </w:rPr>
        <w:t xml:space="preserve">Analyse:  </w:t>
      </w:r>
      <w:r>
        <w:rPr>
          <w:rFonts w:ascii="Calibri" w:hAnsi="Calibri"/>
          <w:sz w:val="22"/>
        </w:rPr>
        <w:t>Branchekader van Rijkswaterstaat, Defensie, ProRail en Rijksvastgoedbedrijf met gestandaardiseerde beheersmaatregelen voor chroom-6.</w:t>
      </w:r>
    </w:p>
    <w:p>
      <w:pPr>
        <w:spacing w:after="120"/>
      </w:pPr>
      <w:r>
        <w:rPr>
          <w:rFonts w:ascii="Calibri" w:hAnsi="Calibri"/>
          <w:b/>
          <w:sz w:val="22"/>
        </w:rPr>
        <w:t xml:space="preserve">Voorgestelde plaatsing:  </w:t>
      </w:r>
      <w:r>
        <w:rPr>
          <w:rFonts w:ascii="Calibri" w:hAnsi="Calibri"/>
          <w:sz w:val="22"/>
        </w:rPr>
        <w:t>Herzieningsvoorstel H10.</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Vertaal het Beheersregime Chroom-6 naar een concrete beheersmaatregelenmatrix per activiteit (hot cutting, welding, cleaning) of verwijs per subparagraaf naar de betreffende regime-onderdelen.</w:t>
            </w:r>
          </w:p>
        </w:tc>
      </w:tr>
    </w:tbl>
    <w:p>
      <w:pPr>
        <w:spacing w:after="40"/>
      </w:pPr>
    </w:p>
    <w:p>
      <w:pPr>
        <w:spacing w:after="120"/>
      </w:pPr>
      <w:r>
        <w:rPr>
          <w:rFonts w:ascii="Calibri" w:hAnsi="Calibri"/>
          <w:b/>
          <w:sz w:val="22"/>
        </w:rPr>
        <w:t xml:space="preserve">Onderbouwing:  </w:t>
      </w:r>
      <w:r>
        <w:rPr>
          <w:rFonts w:ascii="Calibri" w:hAnsi="Calibri"/>
          <w:sz w:val="22"/>
        </w:rPr>
        <w:t>Beheersregime Chroom-6 (RWS/Defensie/ProRail/RVB).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T-11 — Sectie 4.5: 5M-methode / hiërarchie van beheersmaatregelen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T-11</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4.5</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5M-methode / hiërarchie van beheersmaatregelen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Arbocatalogi / Arbobesluit art. 4.4-structuur</w:t>
            </w:r>
          </w:p>
        </w:tc>
      </w:tr>
    </w:tbl>
    <w:p>
      <w:pPr>
        <w:spacing w:after="40"/>
      </w:pPr>
    </w:p>
    <w:p>
      <w:pPr>
        <w:spacing w:after="120"/>
      </w:pPr>
      <w:r>
        <w:rPr>
          <w:rFonts w:ascii="Calibri" w:hAnsi="Calibri"/>
          <w:b/>
          <w:sz w:val="22"/>
        </w:rPr>
        <w:t xml:space="preserve">Huidige situatie:  </w:t>
      </w:r>
      <w:r>
        <w:rPr>
          <w:rFonts w:ascii="Calibri" w:hAnsi="Calibri"/>
          <w:sz w:val="22"/>
        </w:rPr>
        <w:t>§4.5 beschrijft expliciet “hierarchy of controls”: minimaliseren verstoring, beperken verspreiding, toegangsbeperking, ventilatie/extractie/natte methoden, en pas daarna PBM — dit sluit aan bij de MAC/5M-methodiek. Ontbrekend: de hoogste trede(s) — substitutie/bronmaatregelen en organisatorische maatregelen (taakroulatie/tijdsbeperking blootstelling) — worden niet als vast onderdeel van de afweging gedocumenteerd (zie ook B4). Voor decommissioning is substitutie van de coating geen optie; dat moet dan als onderbouwing zijn vastgelegd, en overige bronmaatregelen (koude technieken, extractie) moeten aantoonbaar zijn afgewogen.</w:t>
      </w:r>
    </w:p>
    <w:p>
      <w:pPr>
        <w:spacing w:after="120"/>
      </w:pPr>
      <w:r>
        <w:rPr>
          <w:rFonts w:ascii="Calibri" w:hAnsi="Calibri"/>
          <w:b/>
          <w:sz w:val="22"/>
        </w:rPr>
        <w:t xml:space="preserve">Analyse:  </w:t>
      </w:r>
      <w:r>
        <w:rPr>
          <w:rFonts w:ascii="Calibri" w:hAnsi="Calibri"/>
          <w:sz w:val="22"/>
        </w:rPr>
        <w:t>Arbocatalogi; Arbobesluit art. 4.4-structuur — maatregelenhiërarchie met substitutie/bronmaatregelen als hoogste trede.</w:t>
      </w:r>
    </w:p>
    <w:p>
      <w:pPr>
        <w:spacing w:after="120"/>
      </w:pPr>
      <w:r>
        <w:rPr>
          <w:rFonts w:ascii="Calibri" w:hAnsi="Calibri"/>
          <w:b/>
          <w:sz w:val="22"/>
        </w:rPr>
        <w:t xml:space="preserve">Voorgestelde plaatsing:  </w:t>
      </w:r>
      <w:r>
        <w:rPr>
          <w:rFonts w:ascii="Calibri" w:hAnsi="Calibri"/>
          <w:sz w:val="22"/>
        </w:rPr>
        <w:t>Herzieningsvoorstel H11.</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Veranker de volledige maatregelenhiërarchie (5M/MAC) incl. verplichte documentatie van substitutie-/bronmaatregelafweging en organisatorische maatregelen (taakroulatie, blootstellingstijdbeperking) in §4.5.</w:t>
            </w:r>
          </w:p>
        </w:tc>
      </w:tr>
    </w:tbl>
    <w:p>
      <w:pPr>
        <w:spacing w:after="40"/>
      </w:pPr>
    </w:p>
    <w:p>
      <w:pPr>
        <w:spacing w:after="120"/>
      </w:pPr>
      <w:r>
        <w:rPr>
          <w:rFonts w:ascii="Calibri" w:hAnsi="Calibri"/>
          <w:b/>
          <w:sz w:val="22"/>
        </w:rPr>
        <w:t xml:space="preserve">Onderbouwing:  </w:t>
      </w:r>
      <w:r>
        <w:rPr>
          <w:rFonts w:ascii="Calibri" w:hAnsi="Calibri"/>
          <w:sz w:val="22"/>
        </w:rPr>
        <w:t>Arbocatalogi / Arbobesluit art. 4.4-structuur.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T-12 — Revisiestatuspagina/voettekst: Documentbeheer</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T-12</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Revisiestatuspagina/voettekst</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Documentbeheer</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Documentbeheer / kwaliteitsysteem</w:t>
            </w:r>
          </w:p>
        </w:tc>
      </w:tr>
    </w:tbl>
    <w:p>
      <w:pPr>
        <w:spacing w:after="40"/>
      </w:pPr>
    </w:p>
    <w:p>
      <w:pPr>
        <w:spacing w:after="120"/>
      </w:pPr>
      <w:r>
        <w:rPr>
          <w:rFonts w:ascii="Calibri" w:hAnsi="Calibri"/>
          <w:b/>
          <w:sz w:val="22"/>
        </w:rPr>
        <w:t xml:space="preserve">Huidige situatie:  </w:t>
      </w:r>
      <w:r>
        <w:rPr>
          <w:rFonts w:ascii="Calibri" w:hAnsi="Calibri"/>
          <w:sz w:val="22"/>
        </w:rPr>
        <w:t>Zie hoofdstuk 2 (versie-inconsistentie). Daarnaast: “Hoondert Study” (§6, Ref. [2]) is als interne referentie zonder datum/versie opgenomen; de revision log bevat geen wijzigingsbeschrijving. Voor een “Issued for Implementation”-procedure is dit een beheerskundige non-conformiteit.</w:t>
      </w:r>
    </w:p>
    <w:p>
      <w:pPr>
        <w:spacing w:after="120"/>
      </w:pPr>
      <w:r>
        <w:rPr>
          <w:rFonts w:ascii="Calibri" w:hAnsi="Calibri"/>
          <w:b/>
          <w:sz w:val="22"/>
        </w:rPr>
        <w:t xml:space="preserve">Analyse:  </w:t>
      </w:r>
      <w:r>
        <w:rPr>
          <w:rFonts w:ascii="Calibri" w:hAnsi="Calibri"/>
          <w:sz w:val="22"/>
        </w:rPr>
        <w:t>Eigen QC / ISO 9001-logica — versiebeheer, revision log met wijzigingsbeschrijving, gedateerde interne referenties.</w:t>
      </w:r>
    </w:p>
    <w:p>
      <w:pPr>
        <w:spacing w:after="120"/>
      </w:pPr>
      <w:r>
        <w:rPr>
          <w:rFonts w:ascii="Calibri" w:hAnsi="Calibri"/>
          <w:b/>
          <w:sz w:val="22"/>
        </w:rPr>
        <w:t xml:space="preserve">Voorgestelde plaatsing:  </w:t>
      </w:r>
      <w:r>
        <w:rPr>
          <w:rFonts w:ascii="Calibri" w:hAnsi="Calibri"/>
          <w:sz w:val="22"/>
        </w:rPr>
        <w:t>Herzieningsvoorstel H12.</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Los de versie-inconsistentie op: één consistente revisie-aanduiding (Rev A of Rev 1), gevulde revision log (section + description of change), consistente issue-datum in voettekst, datum/versie bij interne referenties (“Hoondert Study”).</w:t>
            </w:r>
          </w:p>
        </w:tc>
      </w:tr>
    </w:tbl>
    <w:p>
      <w:pPr>
        <w:spacing w:after="40"/>
      </w:pPr>
    </w:p>
    <w:p>
      <w:pPr>
        <w:spacing w:after="120"/>
      </w:pPr>
      <w:r>
        <w:rPr>
          <w:rFonts w:ascii="Calibri" w:hAnsi="Calibri"/>
          <w:b/>
          <w:sz w:val="22"/>
        </w:rPr>
        <w:t xml:space="preserve">Onderbouwing:  </w:t>
      </w:r>
      <w:r>
        <w:rPr>
          <w:rFonts w:ascii="Calibri" w:hAnsi="Calibri"/>
          <w:sz w:val="22"/>
        </w:rPr>
        <w:t>Documentbeheer / kwaliteitsysteem.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T-13 — Sectie 2 — Definitions: KMR-definities toevoegen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T-13</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2 — Definitions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KMR-definities toevoegen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Bouwstenen voor de nieuwe KMR-paragrafen; voorkomt interpretatieverschillen bij inspectie.</w:t>
            </w:r>
          </w:p>
        </w:tc>
      </w:tr>
    </w:tbl>
    <w:p>
      <w:pPr>
        <w:spacing w:after="40"/>
      </w:pPr>
    </w:p>
    <w:p>
      <w:pPr>
        <w:spacing w:after="120"/>
      </w:pPr>
      <w:r>
        <w:rPr>
          <w:rFonts w:ascii="Calibri" w:hAnsi="Calibri"/>
          <w:b/>
          <w:sz w:val="22"/>
        </w:rPr>
        <w:t xml:space="preserve">Huidige situatie:  </w:t>
      </w:r>
      <w:r>
        <w:rPr>
          <w:rFonts w:ascii="Calibri" w:hAnsi="Calibri"/>
          <w:sz w:val="22"/>
        </w:rPr>
        <w:t>Definities dekken operationele termen; ‘exposed worker’ en ‘health surveillance’ ontbreken.</w:t>
      </w:r>
    </w:p>
    <w:p>
      <w:pPr>
        <w:spacing w:after="120"/>
      </w:pPr>
      <w:r>
        <w:rPr>
          <w:rFonts w:ascii="Calibri" w:hAnsi="Calibri"/>
          <w:b/>
          <w:sz w:val="22"/>
        </w:rPr>
        <w:t xml:space="preserve">Analyse:  </w:t>
      </w:r>
      <w:r>
        <w:rPr>
          <w:rFonts w:ascii="Calibri" w:hAnsi="Calibri"/>
          <w:sz w:val="22"/>
        </w:rPr>
        <w:t>Zodra H2 (Health Surveillance) en H4 (Exposure Register) zijn geïmplementeerd, hebben deze begrippen eenduidige definities nodig voor afdwingbaarheid.</w:t>
      </w:r>
    </w:p>
    <w:p>
      <w:pPr>
        <w:spacing w:after="120"/>
      </w:pPr>
      <w:r>
        <w:rPr>
          <w:rFonts w:ascii="Calibri" w:hAnsi="Calibri"/>
          <w:b/>
          <w:sz w:val="22"/>
        </w:rPr>
        <w:t xml:space="preserve">Voorgestelde plaatsing:  </w:t>
      </w:r>
      <w:r>
        <w:rPr>
          <w:rFonts w:ascii="Calibri" w:hAnsi="Calibri"/>
          <w:sz w:val="22"/>
        </w:rPr>
        <w:t>Aanvulling definitieslijst.</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Exposed worker: any worker who is or may be exposed to Cr(VI) compounds as a result of work under this procedure. Health surveillance: systematic medical assessment offered pursuant to the Dutch Working Conditions Decree (art. 4.10a), preferably before first exposure and periodically thereafter.</w:t>
            </w:r>
          </w:p>
        </w:tc>
      </w:tr>
    </w:tbl>
    <w:p>
      <w:pPr>
        <w:spacing w:after="40"/>
      </w:pPr>
    </w:p>
    <w:p>
      <w:pPr>
        <w:spacing w:after="120"/>
      </w:pPr>
      <w:r>
        <w:rPr>
          <w:rFonts w:ascii="Calibri" w:hAnsi="Calibri"/>
          <w:b/>
          <w:sz w:val="22"/>
        </w:rPr>
        <w:t xml:space="preserve">Onderbouwing:  </w:t>
      </w:r>
      <w:r>
        <w:rPr>
          <w:rFonts w:ascii="Calibri" w:hAnsi="Calibri"/>
          <w:sz w:val="22"/>
        </w:rPr>
        <w:t>Bouwstenen voor de nieuwe KMR-paragrafen; voorkomt interpretatieverschillen bij inspectie..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T-14 — Sectie 3 — Roles: Rol bedrijfsarts/arbodienst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T-14</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3 — Roles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Rol bedrijfsarts/arbodienst</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P1</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Organiseert H2/B2; aanspreekbare rol voor inspectie en werknemers.</w:t>
            </w:r>
          </w:p>
        </w:tc>
      </w:tr>
    </w:tbl>
    <w:p>
      <w:pPr>
        <w:spacing w:after="40"/>
      </w:pPr>
    </w:p>
    <w:p>
      <w:pPr>
        <w:spacing w:after="120"/>
      </w:pPr>
      <w:r>
        <w:rPr>
          <w:rFonts w:ascii="Calibri" w:hAnsi="Calibri"/>
          <w:b/>
          <w:sz w:val="22"/>
        </w:rPr>
        <w:t xml:space="preserve">Huidige situatie:  </w:t>
      </w:r>
      <w:r>
        <w:rPr>
          <w:rFonts w:ascii="Calibri" w:hAnsi="Calibri"/>
          <w:sz w:val="22"/>
        </w:rPr>
        <w:t>Zes operationele rollen; geen arbodienst-rol.</w:t>
      </w:r>
    </w:p>
    <w:p>
      <w:pPr>
        <w:spacing w:after="120"/>
      </w:pPr>
      <w:r>
        <w:rPr>
          <w:rFonts w:ascii="Calibri" w:hAnsi="Calibri"/>
          <w:b/>
          <w:sz w:val="22"/>
        </w:rPr>
        <w:t xml:space="preserve">Analyse:  </w:t>
      </w:r>
      <w:r>
        <w:rPr>
          <w:rFonts w:ascii="Calibri" w:hAnsi="Calibri"/>
          <w:sz w:val="22"/>
        </w:rPr>
        <w:t>Art. 4.10a vereist aanbieding van AGO door of namens de werkgever; zonder rolbenoeming is de verplichting niet georganiseerd.</w:t>
      </w:r>
    </w:p>
    <w:p>
      <w:pPr>
        <w:spacing w:after="120"/>
      </w:pPr>
      <w:r>
        <w:rPr>
          <w:rFonts w:ascii="Calibri" w:hAnsi="Calibri"/>
          <w:b/>
          <w:sz w:val="22"/>
        </w:rPr>
        <w:t xml:space="preserve">Voorgestelde plaatsing:  </w:t>
      </w:r>
      <w:r>
        <w:rPr>
          <w:rFonts w:ascii="Calibri" w:hAnsi="Calibri"/>
          <w:sz w:val="22"/>
        </w:rPr>
        <w:t>Nieuwe rol in §3.</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Occupational health service / company physician: advises on health surveillance of exposed workers (pre-placement, periodic, exit), maintains medical confidentiality, and advises on individual protective measures (e.g. sensitised workers).</w:t>
            </w:r>
          </w:p>
        </w:tc>
      </w:tr>
    </w:tbl>
    <w:p>
      <w:pPr>
        <w:spacing w:after="40"/>
      </w:pPr>
    </w:p>
    <w:p>
      <w:pPr>
        <w:spacing w:after="120"/>
      </w:pPr>
      <w:r>
        <w:rPr>
          <w:rFonts w:ascii="Calibri" w:hAnsi="Calibri"/>
          <w:b/>
          <w:sz w:val="22"/>
        </w:rPr>
        <w:t xml:space="preserve">Onderbouwing:  </w:t>
      </w:r>
      <w:r>
        <w:rPr>
          <w:rFonts w:ascii="Calibri" w:hAnsi="Calibri"/>
          <w:sz w:val="22"/>
        </w:rPr>
        <w:t>Organiseert H2/B2; aanspreekbare rol voor inspectie en werknemers.. Status: SPOED — vóór projectuitvoering.</w:t>
      </w:r>
    </w:p>
    <w:p>
      <w:pPr>
        <w:spacing w:after="120"/>
      </w:pPr>
      <w:r>
        <w:rPr>
          <w:rFonts w:ascii="Calibri" w:hAnsi="Calibri"/>
          <w:b/>
          <w:sz w:val="22"/>
        </w:rPr>
        <w:t xml:space="preserve">Verwacht effect na implementatie:  </w:t>
      </w:r>
      <w:r>
        <w:rPr>
          <w:rFonts w:ascii="Calibri" w:hAnsi="Calibri"/>
          <w:sz w:val="22"/>
        </w:rPr>
        <w:t>Herstelt de wettelijke conformiteit voor dit onderdeel; risicostatus gaat van P1 naar Conform en de procedure voldoet aan het Arbobesluit-KMR-regime.</w:t>
      </w:r>
    </w:p>
    <w:p>
      <w:pPr>
        <w:pStyle w:val="Heading2"/>
      </w:pPr>
      <w:r>
        <w:t>T-15 — Nieuw hoofdstuk — Exposure Assessment (H1-aanvulling): Meetlog en kalibratie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T-15</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 hoofdstuk — Exposure Assessment (H1-aanvulling)</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Meetlog en kalibratie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Sluit de bewijsketen tussen B1, B3 en de toekomstige meetpraktijk.</w:t>
            </w:r>
          </w:p>
        </w:tc>
      </w:tr>
    </w:tbl>
    <w:p>
      <w:pPr>
        <w:spacing w:after="40"/>
      </w:pPr>
    </w:p>
    <w:p>
      <w:pPr>
        <w:spacing w:after="120"/>
      </w:pPr>
      <w:r>
        <w:rPr>
          <w:rFonts w:ascii="Calibri" w:hAnsi="Calibri"/>
          <w:b/>
          <w:sz w:val="22"/>
        </w:rPr>
        <w:t xml:space="preserve">Huidige situatie:  </w:t>
      </w:r>
      <w:r>
        <w:rPr>
          <w:rFonts w:ascii="Calibri" w:hAnsi="Calibri"/>
          <w:sz w:val="22"/>
        </w:rPr>
        <w:t>H1 introduceert metingen; kalibratie/verification en meetlog zijn niet gespecificeerd.</w:t>
      </w:r>
    </w:p>
    <w:p>
      <w:pPr>
        <w:spacing w:after="120"/>
      </w:pPr>
      <w:r>
        <w:rPr>
          <w:rFonts w:ascii="Calibri" w:hAnsi="Calibri"/>
          <w:b/>
          <w:sz w:val="22"/>
        </w:rPr>
        <w:t xml:space="preserve">Analyse:  </w:t>
      </w:r>
      <w:r>
        <w:rPr>
          <w:rFonts w:ascii="Calibri" w:hAnsi="Calibri"/>
          <w:sz w:val="22"/>
        </w:rPr>
        <w:t>NEN-EN 482 vereist gekalibreerde procedures; zonder measurement log is de 40-jaar bewaring (H3) niet uitvoerbaar.</w:t>
      </w:r>
    </w:p>
    <w:p>
      <w:pPr>
        <w:spacing w:after="120"/>
      </w:pPr>
      <w:r>
        <w:rPr>
          <w:rFonts w:ascii="Calibri" w:hAnsi="Calibri"/>
          <w:b/>
          <w:sz w:val="22"/>
        </w:rPr>
        <w:t xml:space="preserve">Voorgestelde plaatsing:  </w:t>
      </w:r>
      <w:r>
        <w:rPr>
          <w:rFonts w:ascii="Calibri" w:hAnsi="Calibri"/>
          <w:sz w:val="22"/>
        </w:rPr>
        <w:t>Aanvulling hoofdstuk Exposure Assessment.</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measurements are recorded in a project measurement log (date, location, task, method, sampling duration, result, instrument, calibration status); instruments are verified/calibrated per NEN-EN 482 and certificates retained.</w:t>
            </w:r>
          </w:p>
        </w:tc>
      </w:tr>
    </w:tbl>
    <w:p>
      <w:pPr>
        <w:spacing w:after="40"/>
      </w:pPr>
    </w:p>
    <w:p>
      <w:pPr>
        <w:spacing w:after="120"/>
      </w:pPr>
      <w:r>
        <w:rPr>
          <w:rFonts w:ascii="Calibri" w:hAnsi="Calibri"/>
          <w:b/>
          <w:sz w:val="22"/>
        </w:rPr>
        <w:t xml:space="preserve">Onderbouwing:  </w:t>
      </w:r>
      <w:r>
        <w:rPr>
          <w:rFonts w:ascii="Calibri" w:hAnsi="Calibri"/>
          <w:sz w:val="22"/>
        </w:rPr>
        <w:t>Sluit de bewijsketen tussen B1, B3 en de toekomstige meetpraktijk..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T-16 — Sectie 4.5 — PBM: Fit-test volgelaatsmasker</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T-16</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4.5 — PBM</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Fit-test volgelaatsmasker</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Maakt het P3-regime technisch geldig; consistent met kwik-procedure-aanbeveling.</w:t>
            </w:r>
          </w:p>
        </w:tc>
      </w:tr>
    </w:tbl>
    <w:p>
      <w:pPr>
        <w:spacing w:after="40"/>
      </w:pPr>
    </w:p>
    <w:p>
      <w:pPr>
        <w:spacing w:after="120"/>
      </w:pPr>
      <w:r>
        <w:rPr>
          <w:rFonts w:ascii="Calibri" w:hAnsi="Calibri"/>
          <w:b/>
          <w:sz w:val="22"/>
        </w:rPr>
        <w:t xml:space="preserve">Huidige situatie:  </w:t>
      </w:r>
      <w:r>
        <w:rPr>
          <w:rFonts w:ascii="Calibri" w:hAnsi="Calibri"/>
          <w:sz w:val="22"/>
        </w:rPr>
        <w:t>P3-volgelaatsmasker verplicht bij stofvormende taken; fit-test ontbreekt.</w:t>
      </w:r>
    </w:p>
    <w:p>
      <w:pPr>
        <w:spacing w:after="120"/>
      </w:pPr>
      <w:r>
        <w:rPr>
          <w:rFonts w:ascii="Calibri" w:hAnsi="Calibri"/>
          <w:b/>
          <w:sz w:val="22"/>
        </w:rPr>
        <w:t xml:space="preserve">Analyse:  </w:t>
      </w:r>
      <w:r>
        <w:rPr>
          <w:rFonts w:ascii="Calibri" w:hAnsi="Calibri"/>
          <w:sz w:val="22"/>
        </w:rPr>
        <w:t>De vermelde filtratie (≥ 99,95%) geldt alleen bij geldige face-seal (AI-blad 18/EN 529); zonder fit-test is de bescherming niet aantoonbaar.</w:t>
      </w:r>
    </w:p>
    <w:p>
      <w:pPr>
        <w:spacing w:after="120"/>
      </w:pPr>
      <w:r>
        <w:rPr>
          <w:rFonts w:ascii="Calibri" w:hAnsi="Calibri"/>
          <w:b/>
          <w:sz w:val="22"/>
        </w:rPr>
        <w:t xml:space="preserve">Voorgestelde plaatsing:  </w:t>
      </w:r>
      <w:r>
        <w:rPr>
          <w:rFonts w:ascii="Calibri" w:hAnsi="Calibri"/>
          <w:sz w:val="22"/>
        </w:rPr>
        <w:t>Uitbreiding PBM-paragraaf.</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Users of tight-fitting full-face masks shall have passed a fit test for the specific mask model, repeated annually or upon change of model/facial features; records held in the personal competency file.</w:t>
            </w:r>
          </w:p>
        </w:tc>
      </w:tr>
    </w:tbl>
    <w:p>
      <w:pPr>
        <w:spacing w:after="40"/>
      </w:pPr>
    </w:p>
    <w:p>
      <w:pPr>
        <w:spacing w:after="120"/>
      </w:pPr>
      <w:r>
        <w:rPr>
          <w:rFonts w:ascii="Calibri" w:hAnsi="Calibri"/>
          <w:b/>
          <w:sz w:val="22"/>
        </w:rPr>
        <w:t xml:space="preserve">Onderbouwing:  </w:t>
      </w:r>
      <w:r>
        <w:rPr>
          <w:rFonts w:ascii="Calibri" w:hAnsi="Calibri"/>
          <w:sz w:val="22"/>
        </w:rPr>
        <w:t>Maakt het P3-regime technisch geldig; consistent met kwik-procedure-aanbeveling..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T-17 — Nieuwe paragraaf — Training and Competence: Trainingsprogramma</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T-17</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Nieuwe paragraaf — Training and Competence</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Trainingsprogramma</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Aantoonbare instructie; sluit aan bij chroom-6-handhavingspraktijk.</w:t>
            </w:r>
          </w:p>
        </w:tc>
      </w:tr>
    </w:tbl>
    <w:p>
      <w:pPr>
        <w:spacing w:after="40"/>
      </w:pPr>
    </w:p>
    <w:p>
      <w:pPr>
        <w:spacing w:after="120"/>
      </w:pPr>
      <w:r>
        <w:rPr>
          <w:rFonts w:ascii="Calibri" w:hAnsi="Calibri"/>
          <w:b/>
          <w:sz w:val="22"/>
        </w:rPr>
        <w:t xml:space="preserve">Huidige situatie:  </w:t>
      </w:r>
      <w:r>
        <w:rPr>
          <w:rFonts w:ascii="Calibri" w:hAnsi="Calibri"/>
          <w:sz w:val="22"/>
        </w:rPr>
        <w:t>Training wordt impliciet verondersteld; geen inhoud, frequentie of bewijs.</w:t>
      </w:r>
    </w:p>
    <w:p>
      <w:pPr>
        <w:spacing w:after="120"/>
      </w:pPr>
      <w:r>
        <w:rPr>
          <w:rFonts w:ascii="Calibri" w:hAnsi="Calibri"/>
          <w:b/>
          <w:sz w:val="22"/>
        </w:rPr>
        <w:t xml:space="preserve">Analyse:  </w:t>
      </w:r>
      <w:r>
        <w:rPr>
          <w:rFonts w:ascii="Calibri" w:hAnsi="Calibri"/>
          <w:sz w:val="22"/>
        </w:rPr>
        <w:t>Arbowet art. 8 vraagt aantoonbare instructie; Cr(VI) is H350 — extra onderbouwing van instructie verwacht.</w:t>
      </w:r>
    </w:p>
    <w:p>
      <w:pPr>
        <w:spacing w:after="120"/>
      </w:pPr>
      <w:r>
        <w:rPr>
          <w:rFonts w:ascii="Calibri" w:hAnsi="Calibri"/>
          <w:b/>
          <w:sz w:val="22"/>
        </w:rPr>
        <w:t xml:space="preserve">Voorgestelde plaatsing:  </w:t>
      </w:r>
      <w:r>
        <w:rPr>
          <w:rFonts w:ascii="Calibri" w:hAnsi="Calibri"/>
          <w:sz w:val="22"/>
        </w:rPr>
        <w:t>Nieuwe paragraaf Training.</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All personnel performing or supervising Cr(VI)-related work complete awareness training covering hazards, health effects, marking, controls, PBM use and fit testing, decontamination and emergency response, prior to first assignment, refreshed every 2 years and after significant changes; competency recorded.</w:t>
            </w:r>
          </w:p>
        </w:tc>
      </w:tr>
    </w:tbl>
    <w:p>
      <w:pPr>
        <w:spacing w:after="40"/>
      </w:pPr>
    </w:p>
    <w:p>
      <w:pPr>
        <w:spacing w:after="120"/>
      </w:pPr>
      <w:r>
        <w:rPr>
          <w:rFonts w:ascii="Calibri" w:hAnsi="Calibri"/>
          <w:b/>
          <w:sz w:val="22"/>
        </w:rPr>
        <w:t xml:space="preserve">Onderbouwing:  </w:t>
      </w:r>
      <w:r>
        <w:rPr>
          <w:rFonts w:ascii="Calibri" w:hAnsi="Calibri"/>
          <w:sz w:val="22"/>
        </w:rPr>
        <w:t>Aantoonbare instructie; sluit aan bij chroom-6-handhavingspraktijk..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T-18 — Sectie 6 — References: Belgische OEL afbakenen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T-18</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6 — References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Belgische OEL afbakenen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P3</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Voorkomt regime-verwarring bij gebruikers en inspectie.</w:t>
            </w:r>
          </w:p>
        </w:tc>
      </w:tr>
    </w:tbl>
    <w:p>
      <w:pPr>
        <w:spacing w:after="40"/>
      </w:pPr>
    </w:p>
    <w:p>
      <w:pPr>
        <w:spacing w:after="120"/>
      </w:pPr>
      <w:r>
        <w:rPr>
          <w:rFonts w:ascii="Calibri" w:hAnsi="Calibri"/>
          <w:b/>
          <w:sz w:val="22"/>
        </w:rPr>
        <w:t xml:space="preserve">Huidige situatie:  </w:t>
      </w:r>
      <w:r>
        <w:rPr>
          <w:rFonts w:ascii="Calibri" w:hAnsi="Calibri"/>
          <w:sz w:val="22"/>
        </w:rPr>
        <w:t>De Belgische OEL (0,005 mg/m³) staat ongeclausuleerd in §6.</w:t>
      </w:r>
    </w:p>
    <w:p>
      <w:pPr>
        <w:spacing w:after="120"/>
      </w:pPr>
      <w:r>
        <w:rPr>
          <w:rFonts w:ascii="Calibri" w:hAnsi="Calibri"/>
          <w:b/>
          <w:sz w:val="22"/>
        </w:rPr>
        <w:t xml:space="preserve">Analyse:  </w:t>
      </w:r>
      <w:r>
        <w:rPr>
          <w:rFonts w:ascii="Calibri" w:hAnsi="Calibri"/>
          <w:sz w:val="22"/>
        </w:rPr>
        <w:t>Het project valt onder Nederlands recht; het meest stringente beginsel maakt de Belgische waarde feitelijk niet richtinggevend (NL 1 µg/m³ is strenger). Ongeclausuleerde vermelding verwart.</w:t>
      </w:r>
    </w:p>
    <w:p>
      <w:pPr>
        <w:spacing w:after="120"/>
      </w:pPr>
      <w:r>
        <w:rPr>
          <w:rFonts w:ascii="Calibri" w:hAnsi="Calibri"/>
          <w:b/>
          <w:sz w:val="22"/>
        </w:rPr>
        <w:t xml:space="preserve">Voorgestelde plaatsing:  </w:t>
      </w:r>
      <w:r>
        <w:rPr>
          <w:rFonts w:ascii="Calibri" w:hAnsi="Calibri"/>
          <w:sz w:val="22"/>
        </w:rPr>
        <w:t>Herformulering referentielijst.</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Note: the Belgian OEL (0,005 mg/m³) is listed for reference only; the binding limit for this project is the Dutch statutory limit of 1 µg/m³ with a precautionary risk ceiling of 0,01 µg/m³.</w:t>
            </w:r>
          </w:p>
        </w:tc>
      </w:tr>
    </w:tbl>
    <w:p>
      <w:pPr>
        <w:spacing w:after="40"/>
      </w:pPr>
    </w:p>
    <w:p>
      <w:pPr>
        <w:spacing w:after="120"/>
      </w:pPr>
      <w:r>
        <w:rPr>
          <w:rFonts w:ascii="Calibri" w:hAnsi="Calibri"/>
          <w:b/>
          <w:sz w:val="22"/>
        </w:rPr>
        <w:t xml:space="preserve">Onderbouwing:  </w:t>
      </w:r>
      <w:r>
        <w:rPr>
          <w:rFonts w:ascii="Calibri" w:hAnsi="Calibri"/>
          <w:sz w:val="22"/>
        </w:rPr>
        <w:t>Voorkomt regime-verwarring bij gebruikers en inspectie.. Status: Opnemen in eerstvolgende herzieningsronde.</w:t>
      </w:r>
    </w:p>
    <w:p>
      <w:pPr>
        <w:spacing w:after="120"/>
      </w:pPr>
      <w:r>
        <w:rPr>
          <w:rFonts w:ascii="Calibri" w:hAnsi="Calibri"/>
          <w:b/>
          <w:sz w:val="22"/>
        </w:rPr>
        <w:t xml:space="preserve">Verwacht effect na implementatie:  </w:t>
      </w:r>
      <w:r>
        <w:rPr>
          <w:rFonts w:ascii="Calibri" w:hAnsi="Calibri"/>
          <w:sz w:val="22"/>
        </w:rPr>
        <w:t>Professionaliseert documentbeheer en best practice; geen directe wettelijke statuswijziging.</w:t>
      </w:r>
    </w:p>
    <w:p>
      <w:pPr>
        <w:pStyle w:val="Heading2"/>
      </w:pPr>
      <w:r>
        <w:t>T-19 — Sectie 6 — References: ‘Hoondert Study’ dateren</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T-19</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6 — References</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‘Hoondert Study’ dateren</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P3</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Documentonderhoudbaarheid.</w:t>
            </w:r>
          </w:p>
        </w:tc>
      </w:tr>
    </w:tbl>
    <w:p>
      <w:pPr>
        <w:spacing w:after="40"/>
      </w:pPr>
    </w:p>
    <w:p>
      <w:pPr>
        <w:spacing w:after="120"/>
      </w:pPr>
      <w:r>
        <w:rPr>
          <w:rFonts w:ascii="Calibri" w:hAnsi="Calibri"/>
          <w:b/>
          <w:sz w:val="22"/>
        </w:rPr>
        <w:t xml:space="preserve">Huidige situatie:  </w:t>
      </w:r>
      <w:r>
        <w:rPr>
          <w:rFonts w:ascii="Calibri" w:hAnsi="Calibri"/>
          <w:sz w:val="22"/>
        </w:rPr>
        <w:t>Interne referentie ‘Hoondert Study’ zonder datum of versie.</w:t>
      </w:r>
    </w:p>
    <w:p>
      <w:pPr>
        <w:spacing w:after="120"/>
      </w:pPr>
      <w:r>
        <w:rPr>
          <w:rFonts w:ascii="Calibri" w:hAnsi="Calibri"/>
          <w:b/>
          <w:sz w:val="22"/>
        </w:rPr>
        <w:t xml:space="preserve">Analyse:  </w:t>
      </w:r>
      <w:r>
        <w:rPr>
          <w:rFonts w:ascii="Calibri" w:hAnsi="Calibri"/>
          <w:sz w:val="22"/>
        </w:rPr>
        <w:t>Interne referenties zonder versie zijn bij revisie niet herleidbaar — documentbeheerzwakte (B14).</w:t>
      </w:r>
    </w:p>
    <w:p>
      <w:pPr>
        <w:spacing w:after="120"/>
      </w:pPr>
      <w:r>
        <w:rPr>
          <w:rFonts w:ascii="Calibri" w:hAnsi="Calibri"/>
          <w:b/>
          <w:sz w:val="22"/>
        </w:rPr>
        <w:t xml:space="preserve">Voorgestelde plaatsing:  </w:t>
      </w:r>
      <w:r>
        <w:rPr>
          <w:rFonts w:ascii="Calibri" w:hAnsi="Calibri"/>
          <w:sz w:val="22"/>
        </w:rPr>
        <w:t>Aanvulling referentie.</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Complete the reference: Hoondert Study — title, document number, revision and date; internal references shall carry at least document number + date.</w:t>
            </w:r>
          </w:p>
        </w:tc>
      </w:tr>
    </w:tbl>
    <w:p>
      <w:pPr>
        <w:spacing w:after="40"/>
      </w:pPr>
    </w:p>
    <w:p>
      <w:pPr>
        <w:spacing w:after="120"/>
      </w:pPr>
      <w:r>
        <w:rPr>
          <w:rFonts w:ascii="Calibri" w:hAnsi="Calibri"/>
          <w:b/>
          <w:sz w:val="22"/>
        </w:rPr>
        <w:t xml:space="preserve">Onderbouwing:  </w:t>
      </w:r>
      <w:r>
        <w:rPr>
          <w:rFonts w:ascii="Calibri" w:hAnsi="Calibri"/>
          <w:sz w:val="22"/>
        </w:rPr>
        <w:t>Documentonderhoudbaarheid.. Status: Opnemen in eerstvolgende herzieningsronde.</w:t>
      </w:r>
    </w:p>
    <w:p>
      <w:pPr>
        <w:spacing w:after="120"/>
      </w:pPr>
      <w:r>
        <w:rPr>
          <w:rFonts w:ascii="Calibri" w:hAnsi="Calibri"/>
          <w:b/>
          <w:sz w:val="22"/>
        </w:rPr>
        <w:t xml:space="preserve">Verwacht effect na implementatie:  </w:t>
      </w:r>
      <w:r>
        <w:rPr>
          <w:rFonts w:ascii="Calibri" w:hAnsi="Calibri"/>
          <w:sz w:val="22"/>
        </w:rPr>
        <w:t>Professionaliseert documentbeheer en best practice; geen directe wettelijke statuswijziging.</w:t>
      </w:r>
    </w:p>
    <w:p>
      <w:pPr>
        <w:pStyle w:val="Heading2"/>
      </w:pPr>
      <w:r>
        <w:t>T-20 — Sectie 1/3 — keten: Subcontractors expliciet in scope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T-20</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1/3 — keten</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Subcontractors expliciet in scope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Ketensluiting voor register en instructie.</w:t>
            </w:r>
          </w:p>
        </w:tc>
      </w:tr>
    </w:tbl>
    <w:p>
      <w:pPr>
        <w:spacing w:after="40"/>
      </w:pPr>
    </w:p>
    <w:p>
      <w:pPr>
        <w:spacing w:after="120"/>
      </w:pPr>
      <w:r>
        <w:rPr>
          <w:rFonts w:ascii="Calibri" w:hAnsi="Calibri"/>
          <w:b/>
          <w:sz w:val="22"/>
        </w:rPr>
        <w:t xml:space="preserve">Huidige situatie:  </w:t>
      </w:r>
      <w:r>
        <w:rPr>
          <w:rFonts w:ascii="Calibri" w:hAnsi="Calibri"/>
          <w:sz w:val="22"/>
        </w:rPr>
        <w:t>Contractors-rol bestaat in §3, maar scope (§1) noemt subcontractors niet expliciet.</w:t>
      </w:r>
    </w:p>
    <w:p>
      <w:pPr>
        <w:spacing w:after="120"/>
      </w:pPr>
      <w:r>
        <w:rPr>
          <w:rFonts w:ascii="Calibri" w:hAnsi="Calibri"/>
          <w:b/>
          <w:sz w:val="22"/>
        </w:rPr>
        <w:t xml:space="preserve">Analyse:  </w:t>
      </w:r>
      <w:r>
        <w:rPr>
          <w:rFonts w:ascii="Calibri" w:hAnsi="Calibri"/>
          <w:sz w:val="22"/>
        </w:rPr>
        <w:t>De art. 4.15-lijst (H4) loopt door in de keten; zonder expliciete scope-bepaling blijft de registratieplicht voor subcontractors onduidelijk.</w:t>
      </w:r>
    </w:p>
    <w:p>
      <w:pPr>
        <w:spacing w:after="120"/>
      </w:pPr>
      <w:r>
        <w:rPr>
          <w:rFonts w:ascii="Calibri" w:hAnsi="Calibri"/>
          <w:b/>
          <w:sz w:val="22"/>
        </w:rPr>
        <w:t xml:space="preserve">Voorgestelde plaatsing:  </w:t>
      </w:r>
      <w:r>
        <w:rPr>
          <w:rFonts w:ascii="Calibri" w:hAnsi="Calibri"/>
          <w:sz w:val="22"/>
        </w:rPr>
        <w:t>Uitbreiding §1.</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This procedure applies to all personnel under Koole’s scope including contractors and subcontractors; the exposure register includes all (sub)contracted workers exposed or potentially exposed.</w:t>
            </w:r>
          </w:p>
        </w:tc>
      </w:tr>
    </w:tbl>
    <w:p>
      <w:pPr>
        <w:spacing w:after="40"/>
      </w:pPr>
    </w:p>
    <w:p>
      <w:pPr>
        <w:spacing w:after="120"/>
      </w:pPr>
      <w:r>
        <w:rPr>
          <w:rFonts w:ascii="Calibri" w:hAnsi="Calibri"/>
          <w:b/>
          <w:sz w:val="22"/>
        </w:rPr>
        <w:t xml:space="preserve">Onderbouwing:  </w:t>
      </w:r>
      <w:r>
        <w:rPr>
          <w:rFonts w:ascii="Calibri" w:hAnsi="Calibri"/>
          <w:sz w:val="22"/>
        </w:rPr>
        <w:t>Ketensluiting voor register en instructie..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T-21 — Sectie 4.3.3/4.5.2 — meldplicht: OR/PVT-equivalent offshore</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T-21</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4.3.3/4.5.2 — meldplicht</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OR/PVT-equivalent offshore</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Operationeel maakt dit de art. 4.21-informering uitvoerbaar offshore.</w:t>
            </w:r>
          </w:p>
        </w:tc>
      </w:tr>
    </w:tbl>
    <w:p>
      <w:pPr>
        <w:spacing w:after="40"/>
      </w:pPr>
    </w:p>
    <w:p>
      <w:pPr>
        <w:spacing w:after="120"/>
      </w:pPr>
      <w:r>
        <w:rPr>
          <w:rFonts w:ascii="Calibri" w:hAnsi="Calibri"/>
          <w:b/>
          <w:sz w:val="22"/>
        </w:rPr>
        <w:t xml:space="preserve">Huidige situatie:  </w:t>
      </w:r>
      <w:r>
        <w:rPr>
          <w:rFonts w:ascii="Calibri" w:hAnsi="Calibri"/>
          <w:sz w:val="22"/>
        </w:rPr>
        <w:t>Meldplicht aan leidinggevende is aanwezig; OR/PVT-kanaal ontbreekt.</w:t>
      </w:r>
    </w:p>
    <w:p>
      <w:pPr>
        <w:spacing w:after="120"/>
      </w:pPr>
      <w:r>
        <w:rPr>
          <w:rFonts w:ascii="Calibri" w:hAnsi="Calibri"/>
          <w:b/>
          <w:sz w:val="22"/>
        </w:rPr>
        <w:t xml:space="preserve">Analyse:  </w:t>
      </w:r>
      <w:r>
        <w:rPr>
          <w:rFonts w:ascii="Calibri" w:hAnsi="Calibri"/>
          <w:sz w:val="22"/>
        </w:rPr>
        <w:t>Art. 4.21 veronderstelt informering van OR/PVT; offshore bestaat vaak een PVT-equivalent (offshore committees/veiligheidsgroep) — dat moet worden benoemd.</w:t>
      </w:r>
    </w:p>
    <w:p>
      <w:pPr>
        <w:spacing w:after="120"/>
      </w:pPr>
      <w:r>
        <w:rPr>
          <w:rFonts w:ascii="Calibri" w:hAnsi="Calibri"/>
          <w:b/>
          <w:sz w:val="22"/>
        </w:rPr>
        <w:t xml:space="preserve">Voorgestelde plaatsing:  </w:t>
      </w:r>
      <w:r>
        <w:rPr>
          <w:rFonts w:ascii="Calibri" w:hAnsi="Calibri"/>
          <w:sz w:val="22"/>
        </w:rPr>
        <w:t>Uitbreiding meldprotocol.</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Abnormal exposure events (suspected overexposure, incidents) are reported to the site PVT or its offshore equivalent (safety committee) and investigated; affected workers are informed immediately.</w:t>
            </w:r>
          </w:p>
        </w:tc>
      </w:tr>
    </w:tbl>
    <w:p>
      <w:pPr>
        <w:spacing w:after="40"/>
      </w:pPr>
    </w:p>
    <w:p>
      <w:pPr>
        <w:spacing w:after="120"/>
      </w:pPr>
      <w:r>
        <w:rPr>
          <w:rFonts w:ascii="Calibri" w:hAnsi="Calibri"/>
          <w:b/>
          <w:sz w:val="22"/>
        </w:rPr>
        <w:t xml:space="preserve">Onderbouwing:  </w:t>
      </w:r>
      <w:r>
        <w:rPr>
          <w:rFonts w:ascii="Calibri" w:hAnsi="Calibri"/>
          <w:sz w:val="22"/>
        </w:rPr>
        <w:t>Operationeel maakt dit de art. 4.21-informering uitvoerbaar offshore..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T-22 — Sectie 4.5.1-4.5.3 — afval: Zeetransport vanaf platform</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T-22</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4.5.1-4.5.3 — afval</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Zeetransport vanaf platform</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Compleet multimodaal documentspoor.</w:t>
            </w:r>
          </w:p>
        </w:tc>
      </w:tr>
    </w:tbl>
    <w:p>
      <w:pPr>
        <w:spacing w:after="40"/>
      </w:pPr>
    </w:p>
    <w:p>
      <w:pPr>
        <w:spacing w:after="120"/>
      </w:pPr>
      <w:r>
        <w:rPr>
          <w:rFonts w:ascii="Calibri" w:hAnsi="Calibri"/>
          <w:b/>
          <w:sz w:val="22"/>
        </w:rPr>
        <w:t xml:space="preserve">Huidige situatie:  </w:t>
      </w:r>
      <w:r>
        <w:rPr>
          <w:rFonts w:ascii="Calibri" w:hAnsi="Calibri"/>
          <w:sz w:val="22"/>
        </w:rPr>
        <w:t>Afvalafvoer is geregeld als ‘hazardous or chemical waste’ zonder modaliteits specifieke eisen.</w:t>
      </w:r>
    </w:p>
    <w:p>
      <w:pPr>
        <w:spacing w:after="120"/>
      </w:pPr>
      <w:r>
        <w:rPr>
          <w:rFonts w:ascii="Calibri" w:hAnsi="Calibri"/>
          <w:b/>
          <w:sz w:val="22"/>
        </w:rPr>
        <w:t xml:space="preserve">Analyse:  </w:t>
      </w:r>
      <w:r>
        <w:rPr>
          <w:rFonts w:ascii="Calibri" w:hAnsi="Calibri"/>
          <w:sz w:val="22"/>
        </w:rPr>
        <w:t>Vanaf een platform is de eerste transportmodaliteit zeetransport (IMDG/binnenvaart); H8 dekt afvalklassering, dit item dekt de transportdocumentatie.</w:t>
      </w:r>
    </w:p>
    <w:p>
      <w:pPr>
        <w:spacing w:after="120"/>
      </w:pPr>
      <w:r>
        <w:rPr>
          <w:rFonts w:ascii="Calibri" w:hAnsi="Calibri"/>
          <w:b/>
          <w:sz w:val="22"/>
        </w:rPr>
        <w:t xml:space="preserve">Voorgestelde plaatsing:  </w:t>
      </w:r>
      <w:r>
        <w:rPr>
          <w:rFonts w:ascii="Calibri" w:hAnsi="Calibri"/>
          <w:sz w:val="22"/>
        </w:rPr>
        <w:t>Aanvulling afvalparagraaf.</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Sea transport of packaged Cr(VI)-contaminated waste from the platform complies with IMDG (class 9, UN 3077/3082 as applicable) including packaging, marking and documentation; transfer to licensed receiver is evidenced by waste transfer notes.</w:t>
            </w:r>
          </w:p>
        </w:tc>
      </w:tr>
    </w:tbl>
    <w:p>
      <w:pPr>
        <w:spacing w:after="40"/>
      </w:pPr>
    </w:p>
    <w:p>
      <w:pPr>
        <w:spacing w:after="120"/>
      </w:pPr>
      <w:r>
        <w:rPr>
          <w:rFonts w:ascii="Calibri" w:hAnsi="Calibri"/>
          <w:b/>
          <w:sz w:val="22"/>
        </w:rPr>
        <w:t xml:space="preserve">Onderbouwing:  </w:t>
      </w:r>
      <w:r>
        <w:rPr>
          <w:rFonts w:ascii="Calibri" w:hAnsi="Calibri"/>
          <w:sz w:val="22"/>
        </w:rPr>
        <w:t>Compleet multimodaal documentspoor..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T-23 — Sectie 4.5 — producten: CLP-etikettering en SDS</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T-23</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Sectie 4.5 — producten</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CLP-etikettering en SDS</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P2</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Vult B8-afbakening en REACH/CLP-conformiteit.</w:t>
            </w:r>
          </w:p>
        </w:tc>
      </w:tr>
    </w:tbl>
    <w:p>
      <w:pPr>
        <w:spacing w:after="40"/>
      </w:pPr>
    </w:p>
    <w:p>
      <w:pPr>
        <w:spacing w:after="120"/>
      </w:pPr>
      <w:r>
        <w:rPr>
          <w:rFonts w:ascii="Calibri" w:hAnsi="Calibri"/>
          <w:b/>
          <w:sz w:val="22"/>
        </w:rPr>
        <w:t xml:space="preserve">Huidige situatie:  </w:t>
      </w:r>
      <w:r>
        <w:rPr>
          <w:rFonts w:ascii="Calibri" w:hAnsi="Calibri"/>
          <w:sz w:val="22"/>
        </w:rPr>
        <w:t>Bij gebruik van Cr(VI)-houdende producten (touch-up primers) zijn geen etiketterings-/SDS-eisen opgenomen.</w:t>
      </w:r>
    </w:p>
    <w:p>
      <w:pPr>
        <w:spacing w:after="120"/>
      </w:pPr>
      <w:r>
        <w:rPr>
          <w:rFonts w:ascii="Calibri" w:hAnsi="Calibri"/>
          <w:b/>
          <w:sz w:val="22"/>
        </w:rPr>
        <w:t xml:space="preserve">Analyse:  </w:t>
      </w:r>
      <w:r>
        <w:rPr>
          <w:rFonts w:ascii="Calibri" w:hAnsi="Calibri"/>
          <w:sz w:val="22"/>
        </w:rPr>
        <w:t>REACH art. 31/CLP vereisen SDS-beschikbaarheid en correcte etikettering; B8-afbakening maakt expliciet wanneer productgebruik Cr(VI) omvat.</w:t>
      </w:r>
    </w:p>
    <w:p>
      <w:pPr>
        <w:spacing w:after="120"/>
      </w:pPr>
      <w:r>
        <w:rPr>
          <w:rFonts w:ascii="Calibri" w:hAnsi="Calibri"/>
          <w:b/>
          <w:sz w:val="22"/>
        </w:rPr>
        <w:t xml:space="preserve">Voorgestelde plaatsing:  </w:t>
      </w:r>
      <w:r>
        <w:rPr>
          <w:rFonts w:ascii="Calibri" w:hAnsi="Calibri"/>
          <w:sz w:val="22"/>
        </w:rPr>
        <w:t>Nieuwe zin in §4.5.</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Any Cr(VI)-containing products used on site (e.g. touch-up primers) require SDS review by QHSE, CLP-compliant labelling and inclusion in the chemical inventory before first use.</w:t>
            </w:r>
          </w:p>
        </w:tc>
      </w:tr>
    </w:tbl>
    <w:p>
      <w:pPr>
        <w:spacing w:after="40"/>
      </w:pPr>
    </w:p>
    <w:p>
      <w:pPr>
        <w:spacing w:after="120"/>
      </w:pPr>
      <w:r>
        <w:rPr>
          <w:rFonts w:ascii="Calibri" w:hAnsi="Calibri"/>
          <w:b/>
          <w:sz w:val="22"/>
        </w:rPr>
        <w:t xml:space="preserve">Onderbouwing:  </w:t>
      </w:r>
      <w:r>
        <w:rPr>
          <w:rFonts w:ascii="Calibri" w:hAnsi="Calibri"/>
          <w:sz w:val="22"/>
        </w:rPr>
        <w:t>Vult B8-afbakening en REACH/CLP-conformiteit.. Status: Opnemen in eerstvolgende herzieningsronde.</w:t>
      </w:r>
    </w:p>
    <w:p>
      <w:pPr>
        <w:spacing w:after="120"/>
      </w:pPr>
      <w:r>
        <w:rPr>
          <w:rFonts w:ascii="Calibri" w:hAnsi="Calibri"/>
          <w:b/>
          <w:sz w:val="22"/>
        </w:rPr>
        <w:t xml:space="preserve">Verwacht effect na implementatie:  </w:t>
      </w:r>
      <w:r>
        <w:rPr>
          <w:rFonts w:ascii="Calibri" w:hAnsi="Calibri"/>
          <w:sz w:val="22"/>
        </w:rPr>
        <w:t>Verbetert afdwingbaarheid en uitvoerbaarheid; risicostatus gaat van P2 naar Conform.</w:t>
      </w:r>
    </w:p>
    <w:p>
      <w:pPr>
        <w:pStyle w:val="Heading2"/>
      </w:pPr>
      <w:r>
        <w:t>T-24 — Algemeen — implementatie: Cross-reference checklist</w:t>
      </w:r>
    </w:p>
    <w:tbl>
      <w:tblPr>
        <w:tblStyle w:val="TableGrid"/>
        <w:tblW w:type="auto" w:w="0"/>
        <w:jc w:val="center"/>
        <w:tblLook w:firstColumn="1" w:firstRow="1" w:lastColumn="0" w:lastRow="0" w:noHBand="0" w:noVBand="1" w:val="04A0"/>
      </w:tblPr>
      <w:tblGrid>
        <w:gridCol w:w="4759"/>
        <w:gridCol w:w="4759"/>
      </w:tblGrid>
      <w:tr>
        <w:tc>
          <w:tcPr>
            <w:tcW w:type="dxa" w:w="4759"/>
            <w:shd w:val="clear" w:color="auto" w:fill="003366"/>
          </w:tcPr>
          <w:p>
            <w:r/>
            <w:r>
              <w:rPr>
                <w:rFonts w:ascii="Calibri" w:hAnsi="Calibri"/>
                <w:b/>
                <w:color w:val="FFFFFF"/>
                <w:sz w:val="19"/>
              </w:rPr>
              <w:t>Kenmerk</w:t>
            </w:r>
          </w:p>
        </w:tc>
        <w:tc>
          <w:tcPr>
            <w:tcW w:type="dxa" w:w="4759"/>
            <w:shd w:val="clear" w:color="auto" w:fill="003366"/>
          </w:tcPr>
          <w:p>
            <w:r/>
            <w:r>
              <w:rPr>
                <w:rFonts w:ascii="Calibri" w:hAnsi="Calibri"/>
                <w:b/>
                <w:color w:val="FFFFFF"/>
                <w:sz w:val="19"/>
              </w:rPr>
              <w:t>Waarde</w:t>
            </w:r>
          </w:p>
        </w:tc>
      </w:tr>
      <w:tr>
        <w:tc>
          <w:tcPr>
            <w:tcW w:type="dxa" w:w="4759"/>
          </w:tcPr>
          <w:p>
            <w:r/>
            <w:r>
              <w:rPr>
                <w:rFonts w:ascii="Calibri" w:hAnsi="Calibri"/>
                <w:b w:val="0"/>
                <w:color w:val="1F2937"/>
                <w:sz w:val="19"/>
              </w:rPr>
              <w:t>Voorstel-ID</w:t>
            </w:r>
          </w:p>
        </w:tc>
        <w:tc>
          <w:tcPr>
            <w:tcW w:type="dxa" w:w="4759"/>
          </w:tcPr>
          <w:p>
            <w:r/>
            <w:r>
              <w:rPr>
                <w:rFonts w:ascii="Calibri" w:hAnsi="Calibri"/>
                <w:b w:val="0"/>
                <w:color w:val="1F2937"/>
                <w:sz w:val="19"/>
              </w:rPr>
              <w:t>T-24</w:t>
            </w:r>
          </w:p>
        </w:tc>
      </w:tr>
      <w:tr>
        <w:tc>
          <w:tcPr>
            <w:tcW w:type="dxa" w:w="4759"/>
          </w:tcPr>
          <w:p>
            <w:r/>
            <w:r>
              <w:rPr>
                <w:rFonts w:ascii="Calibri" w:hAnsi="Calibri"/>
                <w:b w:val="0"/>
                <w:color w:val="1F2937"/>
                <w:sz w:val="19"/>
              </w:rPr>
              <w:t>Locatie</w:t>
            </w:r>
          </w:p>
        </w:tc>
        <w:tc>
          <w:tcPr>
            <w:tcW w:type="dxa" w:w="4759"/>
          </w:tcPr>
          <w:p>
            <w:r/>
            <w:r>
              <w:rPr>
                <w:rFonts w:ascii="Calibri" w:hAnsi="Calibri"/>
                <w:b w:val="0"/>
                <w:color w:val="1F2937"/>
                <w:sz w:val="19"/>
              </w:rPr>
              <w:t>Algemeen — implementatie</w:t>
            </w:r>
          </w:p>
        </w:tc>
      </w:tr>
      <w:tr>
        <w:tc>
          <w:tcPr>
            <w:tcW w:type="dxa" w:w="4759"/>
          </w:tcPr>
          <w:p>
            <w:r/>
            <w:r>
              <w:rPr>
                <w:rFonts w:ascii="Calibri" w:hAnsi="Calibri"/>
                <w:b w:val="0"/>
                <w:color w:val="1F2937"/>
                <w:sz w:val="19"/>
              </w:rPr>
              <w:t>Thema</w:t>
            </w:r>
          </w:p>
        </w:tc>
        <w:tc>
          <w:tcPr>
            <w:tcW w:type="dxa" w:w="4759"/>
          </w:tcPr>
          <w:p>
            <w:r/>
            <w:r>
              <w:rPr>
                <w:rFonts w:ascii="Calibri" w:hAnsi="Calibri"/>
                <w:b w:val="0"/>
                <w:color w:val="1F2937"/>
                <w:sz w:val="19"/>
              </w:rPr>
              <w:t>Cross-reference checklist</w:t>
            </w:r>
          </w:p>
        </w:tc>
      </w:tr>
      <w:tr>
        <w:tc>
          <w:tcPr>
            <w:tcW w:type="dxa" w:w="4759"/>
          </w:tcPr>
          <w:p>
            <w:r/>
            <w:r>
              <w:rPr>
                <w:rFonts w:ascii="Calibri" w:hAnsi="Calibri"/>
                <w:b w:val="0"/>
                <w:color w:val="1F2937"/>
                <w:sz w:val="19"/>
              </w:rPr>
              <w:t>Prioriteit</w:t>
            </w:r>
          </w:p>
        </w:tc>
        <w:tc>
          <w:tcPr>
            <w:tcW w:type="dxa" w:w="4759"/>
          </w:tcPr>
          <w:p>
            <w:r/>
            <w:r>
              <w:rPr>
                <w:rFonts w:ascii="Calibri" w:hAnsi="Calibri"/>
                <w:b w:val="0"/>
                <w:color w:val="1F2937"/>
                <w:sz w:val="19"/>
              </w:rPr>
              <w:t>P3</w:t>
            </w:r>
          </w:p>
        </w:tc>
      </w:tr>
      <w:tr>
        <w:tc>
          <w:tcPr>
            <w:tcW w:type="dxa" w:w="4759"/>
          </w:tcPr>
          <w:p>
            <w:r/>
            <w:r>
              <w:rPr>
                <w:rFonts w:ascii="Calibri" w:hAnsi="Calibri"/>
                <w:b w:val="0"/>
                <w:color w:val="1F2937"/>
                <w:sz w:val="19"/>
              </w:rPr>
              <w:t>Bron</w:t>
            </w:r>
          </w:p>
        </w:tc>
        <w:tc>
          <w:tcPr>
            <w:tcW w:type="dxa" w:w="4759"/>
          </w:tcPr>
          <w:p>
            <w:r/>
            <w:r>
              <w:rPr>
                <w:rFonts w:ascii="Calibri" w:hAnsi="Calibri"/>
                <w:b w:val="0"/>
                <w:color w:val="1F2937"/>
                <w:sz w:val="19"/>
              </w:rPr>
              <w:t>Voorkomt deelfimplementatie van het herstelpakket.</w:t>
            </w:r>
          </w:p>
        </w:tc>
      </w:tr>
    </w:tbl>
    <w:p>
      <w:pPr>
        <w:spacing w:after="40"/>
      </w:pPr>
    </w:p>
    <w:p>
      <w:pPr>
        <w:spacing w:after="120"/>
      </w:pPr>
      <w:r>
        <w:rPr>
          <w:rFonts w:ascii="Calibri" w:hAnsi="Calibri"/>
          <w:b/>
          <w:sz w:val="22"/>
        </w:rPr>
        <w:t xml:space="preserve">Huidige situatie:  </w:t>
      </w:r>
      <w:r>
        <w:rPr>
          <w:rFonts w:ascii="Calibri" w:hAnsi="Calibri"/>
          <w:sz w:val="22"/>
        </w:rPr>
        <w:t>De herziening omvat 12+ voorstellen over meerdere secties.</w:t>
      </w:r>
    </w:p>
    <w:p>
      <w:pPr>
        <w:spacing w:after="120"/>
      </w:pPr>
      <w:r>
        <w:rPr>
          <w:rFonts w:ascii="Calibri" w:hAnsi="Calibri"/>
          <w:b/>
          <w:sz w:val="22"/>
        </w:rPr>
        <w:t xml:space="preserve">Analyse:  </w:t>
      </w:r>
      <w:r>
        <w:rPr>
          <w:rFonts w:ascii="Calibri" w:hAnsi="Calibri"/>
          <w:sz w:val="22"/>
        </w:rPr>
        <w:t>Gecoördineerde implementatie vergt een checklist om inconsistenties te voorkomen.</w:t>
      </w:r>
    </w:p>
    <w:p>
      <w:pPr>
        <w:spacing w:after="120"/>
      </w:pPr>
      <w:r>
        <w:rPr>
          <w:rFonts w:ascii="Calibri" w:hAnsi="Calibri"/>
          <w:b/>
          <w:sz w:val="22"/>
        </w:rPr>
        <w:t xml:space="preserve">Voorgestelde plaatsing:  </w:t>
      </w:r>
      <w:r>
        <w:rPr>
          <w:rFonts w:ascii="Calibri" w:hAnsi="Calibri"/>
          <w:sz w:val="22"/>
        </w:rPr>
        <w:t>Nieuwe bijlage na implementatie.</w:t>
      </w:r>
    </w:p>
    <w:tbl>
      <w:tblPr>
        <w:tblStyle w:val="TableGrid"/>
        <w:tblW w:type="auto" w:w="0"/>
        <w:jc w:val="center"/>
        <w:tblLook w:firstColumn="1" w:firstRow="1" w:lastColumn="0" w:lastRow="0" w:noHBand="0" w:noVBand="1" w:val="04A0"/>
      </w:tblPr>
      <w:tblGrid>
        <w:gridCol w:w="9518"/>
      </w:tblGrid>
      <w:tr>
        <w:tc>
          <w:tcPr>
            <w:tcW w:type="dxa" w:w="9518"/>
            <w:shd w:val="clear" w:color="auto" w:fill="003366"/>
          </w:tcPr>
          <w:p>
            <w:r/>
            <w:r>
              <w:rPr>
                <w:rFonts w:ascii="Calibri" w:hAnsi="Calibri"/>
                <w:b/>
                <w:color w:val="FFFFFF"/>
                <w:sz w:val="19"/>
              </w:rPr>
              <w:t>Voorgestelde tekst (EN)</w:t>
            </w:r>
          </w:p>
        </w:tc>
      </w:tr>
      <w:tr>
        <w:tc>
          <w:tcPr>
            <w:tcW w:type="dxa" w:w="9518"/>
          </w:tcPr>
          <w:p>
            <w:r/>
            <w:r>
              <w:rPr>
                <w:rFonts w:ascii="Calibri" w:hAnsi="Calibri"/>
                <w:b w:val="0"/>
                <w:color w:val="1F2937"/>
                <w:sz w:val="19"/>
              </w:rPr>
              <w:t>Post-revision checklist: all B-items closed; new chapters cross-referenced; revision log completed with section + description; footer/header dates consistent; referentielijst compleet incl. AI-bladen en NEN-normen.</w:t>
            </w:r>
          </w:p>
        </w:tc>
      </w:tr>
    </w:tbl>
    <w:p>
      <w:pPr>
        <w:spacing w:after="40"/>
      </w:pPr>
    </w:p>
    <w:p>
      <w:pPr>
        <w:spacing w:after="120"/>
      </w:pPr>
      <w:r>
        <w:rPr>
          <w:rFonts w:ascii="Calibri" w:hAnsi="Calibri"/>
          <w:b/>
          <w:sz w:val="22"/>
        </w:rPr>
        <w:t xml:space="preserve">Onderbouwing:  </w:t>
      </w:r>
      <w:r>
        <w:rPr>
          <w:rFonts w:ascii="Calibri" w:hAnsi="Calibri"/>
          <w:sz w:val="22"/>
        </w:rPr>
        <w:t>Voorkomt deelfimplementatie van het herstelpakket.. Status: Opnemen in eerstvolgende herzieningsronde.</w:t>
      </w:r>
    </w:p>
    <w:p>
      <w:pPr>
        <w:spacing w:after="120"/>
      </w:pPr>
      <w:r>
        <w:rPr>
          <w:rFonts w:ascii="Calibri" w:hAnsi="Calibri"/>
          <w:b/>
          <w:sz w:val="22"/>
        </w:rPr>
        <w:t xml:space="preserve">Verwacht effect na implementatie:  </w:t>
      </w:r>
      <w:r>
        <w:rPr>
          <w:rFonts w:ascii="Calibri" w:hAnsi="Calibri"/>
          <w:sz w:val="22"/>
        </w:rPr>
        <w:t>Professionaliseert documentbeheer en best practice; geen directe wettelijke statuswijziging.</w:t>
      </w:r>
    </w:p>
    <w:p>
      <w:pPr>
        <w:pStyle w:val="Heading1"/>
      </w:pPr>
      <w:r>
        <w:t>3. Implementatievolgorde</w:t>
      </w:r>
    </w:p>
    <w:tbl>
      <w:tblPr>
        <w:tblStyle w:val="TableGrid"/>
        <w:tblW w:type="auto" w:w="0"/>
        <w:jc w:val="center"/>
        <w:tblLook w:firstColumn="1" w:firstRow="1" w:lastColumn="0" w:lastRow="0" w:noHBand="0" w:noVBand="1" w:val="04A0"/>
      </w:tblPr>
      <w:tblGrid>
        <w:gridCol w:w="2379"/>
        <w:gridCol w:w="2379"/>
        <w:gridCol w:w="2379"/>
        <w:gridCol w:w="2379"/>
      </w:tblGrid>
      <w:tr>
        <w:tc>
          <w:tcPr>
            <w:tcW w:type="dxa" w:w="2379"/>
            <w:shd w:val="clear" w:color="auto" w:fill="003366"/>
          </w:tcPr>
          <w:p>
            <w:r/>
            <w:r>
              <w:rPr>
                <w:rFonts w:ascii="Calibri" w:hAnsi="Calibri"/>
                <w:b/>
                <w:color w:val="FFFFFF"/>
                <w:sz w:val="19"/>
              </w:rPr>
              <w:t>Volgorde</w:t>
            </w:r>
          </w:p>
        </w:tc>
        <w:tc>
          <w:tcPr>
            <w:tcW w:type="dxa" w:w="2379"/>
            <w:shd w:val="clear" w:color="auto" w:fill="003366"/>
          </w:tcPr>
          <w:p>
            <w:r/>
            <w:r>
              <w:rPr>
                <w:rFonts w:ascii="Calibri" w:hAnsi="Calibri"/>
                <w:b/>
                <w:color w:val="FFFFFF"/>
                <w:sz w:val="19"/>
              </w:rPr>
              <w:t>Voorstellen</w:t>
            </w:r>
          </w:p>
        </w:tc>
        <w:tc>
          <w:tcPr>
            <w:tcW w:type="dxa" w:w="2379"/>
            <w:shd w:val="clear" w:color="auto" w:fill="003366"/>
          </w:tcPr>
          <w:p>
            <w:r/>
            <w:r>
              <w:rPr>
                <w:rFonts w:ascii="Calibri" w:hAnsi="Calibri"/>
                <w:b/>
                <w:color w:val="FFFFFF"/>
                <w:sz w:val="19"/>
              </w:rPr>
              <w:t>Revisie</w:t>
            </w:r>
          </w:p>
        </w:tc>
        <w:tc>
          <w:tcPr>
            <w:tcW w:type="dxa" w:w="2379"/>
            <w:shd w:val="clear" w:color="auto" w:fill="003366"/>
          </w:tcPr>
          <w:p>
            <w:r/>
            <w:r>
              <w:rPr>
                <w:rFonts w:ascii="Calibri" w:hAnsi="Calibri"/>
                <w:b/>
                <w:color w:val="FFFFFF"/>
                <w:sz w:val="19"/>
              </w:rPr>
              <w:t>Rationale</w:t>
            </w:r>
          </w:p>
        </w:tc>
      </w:tr>
      <w:tr>
        <w:tc>
          <w:tcPr>
            <w:tcW w:type="dxa" w:w="2379"/>
          </w:tcPr>
          <w:p>
            <w:r/>
            <w:r>
              <w:rPr>
                <w:rFonts w:ascii="Calibri" w:hAnsi="Calibri"/>
                <w:b w:val="0"/>
                <w:color w:val="1F2937"/>
                <w:sz w:val="19"/>
              </w:rPr>
              <w:t>1</w:t>
            </w:r>
          </w:p>
        </w:tc>
        <w:tc>
          <w:tcPr>
            <w:tcW w:type="dxa" w:w="2379"/>
          </w:tcPr>
          <w:p>
            <w:r/>
            <w:r>
              <w:rPr>
                <w:rFonts w:ascii="Calibri" w:hAnsi="Calibri"/>
                <w:b w:val="0"/>
                <w:color w:val="1F2937"/>
                <w:sz w:val="19"/>
              </w:rPr>
              <w:t>T-01 t/m T-05 + T-14 (H1-H5 + rol bedrijfsarts)</w:t>
            </w:r>
          </w:p>
        </w:tc>
        <w:tc>
          <w:tcPr>
            <w:tcW w:type="dxa" w:w="2379"/>
          </w:tcPr>
          <w:p>
            <w:r/>
            <w:r>
              <w:rPr>
                <w:rFonts w:ascii="Calibri" w:hAnsi="Calibri"/>
                <w:b w:val="0"/>
                <w:color w:val="1F2937"/>
                <w:sz w:val="19"/>
              </w:rPr>
              <w:t>Spoedrevisie</w:t>
            </w:r>
          </w:p>
        </w:tc>
        <w:tc>
          <w:tcPr>
            <w:tcW w:type="dxa" w:w="2379"/>
          </w:tcPr>
          <w:p>
            <w:r/>
            <w:r>
              <w:rPr>
                <w:rFonts w:ascii="Calibri" w:hAnsi="Calibri"/>
                <w:b w:val="0"/>
                <w:color w:val="1F2937"/>
                <w:sz w:val="19"/>
              </w:rPr>
              <w:t>P1: meetstrategie, AGO, bewaring, register, RI&amp;E, rol</w:t>
            </w:r>
          </w:p>
        </w:tc>
      </w:tr>
      <w:tr>
        <w:tc>
          <w:tcPr>
            <w:tcW w:type="dxa" w:w="2379"/>
          </w:tcPr>
          <w:p>
            <w:r/>
            <w:r>
              <w:rPr>
                <w:rFonts w:ascii="Calibri" w:hAnsi="Calibri"/>
                <w:b w:val="0"/>
                <w:color w:val="1F2937"/>
                <w:sz w:val="19"/>
              </w:rPr>
              <w:t>2</w:t>
            </w:r>
          </w:p>
        </w:tc>
        <w:tc>
          <w:tcPr>
            <w:tcW w:type="dxa" w:w="2379"/>
          </w:tcPr>
          <w:p>
            <w:r/>
            <w:r>
              <w:rPr>
                <w:rFonts w:ascii="Calibri" w:hAnsi="Calibri"/>
                <w:b w:val="0"/>
                <w:color w:val="1F2937"/>
                <w:sz w:val="19"/>
              </w:rPr>
              <w:t>T-06 t/m T-12 (H6-H12)</w:t>
            </w:r>
          </w:p>
        </w:tc>
        <w:tc>
          <w:tcPr>
            <w:tcW w:type="dxa" w:w="2379"/>
          </w:tcPr>
          <w:p>
            <w:r/>
            <w:r>
              <w:rPr>
                <w:rFonts w:ascii="Calibri" w:hAnsi="Calibri"/>
                <w:b w:val="0"/>
                <w:color w:val="1F2937"/>
                <w:sz w:val="19"/>
              </w:rPr>
              <w:t>Vervolgrevisie</w:t>
            </w:r>
          </w:p>
        </w:tc>
        <w:tc>
          <w:tcPr>
            <w:tcW w:type="dxa" w:w="2379"/>
          </w:tcPr>
          <w:p>
            <w:r/>
            <w:r>
              <w:rPr>
                <w:rFonts w:ascii="Calibri" w:hAnsi="Calibri"/>
                <w:b w:val="0"/>
                <w:color w:val="1F2937"/>
                <w:sz w:val="19"/>
              </w:rPr>
              <w:t>P2: OR/PVT, REACH, afval, AI-bladen, beheersregime, hiërarchie, versiebeheer</w:t>
            </w:r>
          </w:p>
        </w:tc>
      </w:tr>
      <w:tr>
        <w:tc>
          <w:tcPr>
            <w:tcW w:type="dxa" w:w="2379"/>
          </w:tcPr>
          <w:p>
            <w:r/>
            <w:r>
              <w:rPr>
                <w:rFonts w:ascii="Calibri" w:hAnsi="Calibri"/>
                <w:b w:val="0"/>
                <w:color w:val="1F2937"/>
                <w:sz w:val="19"/>
              </w:rPr>
              <w:t>3</w:t>
            </w:r>
          </w:p>
        </w:tc>
        <w:tc>
          <w:tcPr>
            <w:tcW w:type="dxa" w:w="2379"/>
          </w:tcPr>
          <w:p>
            <w:r/>
            <w:r>
              <w:rPr>
                <w:rFonts w:ascii="Calibri" w:hAnsi="Calibri"/>
                <w:b w:val="0"/>
                <w:color w:val="1F2937"/>
                <w:sz w:val="19"/>
              </w:rPr>
              <w:t>T-13, T-15, T-16, T-17, T-18, T-19</w:t>
            </w:r>
          </w:p>
        </w:tc>
        <w:tc>
          <w:tcPr>
            <w:tcW w:type="dxa" w:w="2379"/>
          </w:tcPr>
          <w:p>
            <w:r/>
            <w:r>
              <w:rPr>
                <w:rFonts w:ascii="Calibri" w:hAnsi="Calibri"/>
                <w:b w:val="0"/>
                <w:color w:val="1F2937"/>
                <w:sz w:val="19"/>
              </w:rPr>
              <w:t>Vervolgrevisie</w:t>
            </w:r>
          </w:p>
        </w:tc>
        <w:tc>
          <w:tcPr>
            <w:tcW w:type="dxa" w:w="2379"/>
          </w:tcPr>
          <w:p>
            <w:r/>
            <w:r>
              <w:rPr>
                <w:rFonts w:ascii="Calibri" w:hAnsi="Calibri"/>
                <w:b w:val="0"/>
                <w:color w:val="1F2937"/>
                <w:sz w:val="19"/>
              </w:rPr>
              <w:t>Definities, meetlog, fit-test, training, OEL-notitie, referentie</w:t>
            </w:r>
          </w:p>
        </w:tc>
      </w:tr>
      <w:tr>
        <w:tc>
          <w:tcPr>
            <w:tcW w:type="dxa" w:w="2379"/>
          </w:tcPr>
          <w:p>
            <w:r/>
            <w:r>
              <w:rPr>
                <w:rFonts w:ascii="Calibri" w:hAnsi="Calibri"/>
                <w:b w:val="0"/>
                <w:color w:val="1F2937"/>
                <w:sz w:val="19"/>
              </w:rPr>
              <w:t>4</w:t>
            </w:r>
          </w:p>
        </w:tc>
        <w:tc>
          <w:tcPr>
            <w:tcW w:type="dxa" w:w="2379"/>
          </w:tcPr>
          <w:p>
            <w:r/>
            <w:r>
              <w:rPr>
                <w:rFonts w:ascii="Calibri" w:hAnsi="Calibri"/>
                <w:b w:val="0"/>
                <w:color w:val="1F2937"/>
                <w:sz w:val="19"/>
              </w:rPr>
              <w:t>T-20 t/m T-24</w:t>
            </w:r>
          </w:p>
        </w:tc>
        <w:tc>
          <w:tcPr>
            <w:tcW w:type="dxa" w:w="2379"/>
          </w:tcPr>
          <w:p>
            <w:r/>
            <w:r>
              <w:rPr>
                <w:rFonts w:ascii="Calibri" w:hAnsi="Calibri"/>
                <w:b w:val="0"/>
                <w:color w:val="1F2937"/>
                <w:sz w:val="19"/>
              </w:rPr>
              <w:t>Vervolgrevisie</w:t>
            </w:r>
          </w:p>
        </w:tc>
        <w:tc>
          <w:tcPr>
            <w:tcW w:type="dxa" w:w="2379"/>
          </w:tcPr>
          <w:p>
            <w:r/>
            <w:r>
              <w:rPr>
                <w:rFonts w:ascii="Calibri" w:hAnsi="Calibri"/>
                <w:b w:val="0"/>
                <w:color w:val="1F2937"/>
                <w:sz w:val="19"/>
              </w:rPr>
              <w:t>Keten, OR/PVT-equivalent, zeetransport, CLP/SDS, checklist</w:t>
            </w:r>
          </w:p>
        </w:tc>
      </w:tr>
    </w:tbl>
    <w:p>
      <w:pPr>
        <w:spacing w:after="40"/>
      </w:pPr>
    </w:p>
    <w:p>
      <w:pPr>
        <w:pStyle w:val="Heading1"/>
      </w:pPr>
      <w:r>
        <w:t>4. Cross-Reference Checklist na Implementatie</w:t>
      </w:r>
    </w:p>
    <w:p>
      <w:pPr>
        <w:pStyle w:val="ListNumber"/>
        <w:spacing w:after="60"/>
      </w:pPr>
      <w:r>
        <w:t>Controleer dat B1-B18 uit de audit elk zijn afgedekt door minimaal één T-voorstel.</w:t>
      </w:r>
    </w:p>
    <w:p>
      <w:pPr>
        <w:pStyle w:val="ListNumber"/>
        <w:spacing w:after="60"/>
      </w:pPr>
      <w:r>
        <w:t>Controleer dat nieuwe hoofdstukken (Exposure Assessment, Health Surveillance, Exposure Register, Record Retention) onderling en met §3 zijn gecross-referenced.</w:t>
      </w:r>
    </w:p>
    <w:p>
      <w:pPr>
        <w:pStyle w:val="ListNumber"/>
        <w:spacing w:after="60"/>
      </w:pPr>
      <w:r>
        <w:t>Controleer dat de revision log is gevuld (Section + Description of Change) en dat voettekst-/coverdata consistent zijn.</w:t>
      </w:r>
    </w:p>
    <w:p>
      <w:pPr>
        <w:pStyle w:val="ListNumber"/>
        <w:spacing w:after="60"/>
      </w:pPr>
      <w:r>
        <w:t>Controleer dat §6 de AI-bladen, NEN-normen en REACH bevat en dat ‘Hoondert Study’ gedateerd is.</w:t>
      </w:r>
    </w:p>
    <w:p>
      <w:pPr>
        <w:pStyle w:val="ListNumber"/>
        <w:spacing w:after="60"/>
      </w:pPr>
      <w:r>
        <w:t>Herzie de Belgische OEL-notitie (T-18).</w:t>
      </w:r>
    </w:p>
    <w:p>
      <w:pPr>
        <w:pStyle w:val="ListNumber"/>
        <w:spacing w:after="60"/>
      </w:pPr>
      <w:r>
        <w:t>Laat de herziene procedure opnieuw toetsen tegen Conformiteitsmatrix_ChroomVI_v1.0.xlsx.</w:t>
      </w:r>
    </w:p>
    <w:p>
      <w:pPr>
        <w:pStyle w:val="Heading1"/>
      </w:pPr>
      <w:r>
        <w:t>5. Bijlage — Geconsolideerde voorbeeldteksten</w:t>
      </w:r>
    </w:p>
    <w:p>
      <w:pPr>
        <w:pStyle w:val="Heading2"/>
      </w:pPr>
      <w:r>
        <w:t>5.1 Voorbeeld nieuwe paragraaf Health Surveillance (EN)</w:t>
      </w:r>
    </w:p>
    <w:p>
      <w:pPr>
        <w:spacing w:after="120"/>
      </w:pPr>
      <w:r>
        <w:rPr>
          <w:rFonts w:ascii="Calibri" w:hAnsi="Calibri"/>
          <w:b w:val="0"/>
          <w:i w:val="0"/>
          <w:sz w:val="22"/>
        </w:rPr>
        <w:t>All workers who are or may be exposed to Cr(VI) compounds are offered health surveillance pursuant to the Dutch Working Conditions Decree (art. 4.10a): pre-placement assessment before first exposure, periodic assessments during exposure, and an exit assessment at the end of assignment. The occupational health physician advises on individual measures; medical records are kept confidentially by the occupational health service.</w:t>
      </w:r>
    </w:p>
    <w:p>
      <w:pPr>
        <w:pStyle w:val="Heading2"/>
      </w:pPr>
      <w:r>
        <w:t>5.2 Voorbeeld nieuwe paragraaf Exposure Register (EN)</w:t>
      </w:r>
    </w:p>
    <w:p>
      <w:pPr>
        <w:spacing w:after="120"/>
      </w:pPr>
      <w:r>
        <w:rPr>
          <w:rFonts w:ascii="Calibri" w:hAnsi="Calibri"/>
          <w:b w:val="0"/>
          <w:i w:val="0"/>
          <w:sz w:val="22"/>
        </w:rPr>
        <w:t>The QHSE Manager maintains an exposure register listing all workers — including contractors and subcontractors — exposed or potentially exposed to Cr(VI), with name, function, tasks, measured or estimated exposure levels and dates. Each worker has the right to inspect the register and obtain a copy. The register and all exposure records are retained for 40 years after the last exposure, also beyond project closure, and transferred to the corporate HSE archive under documented handover.</w:t>
      </w:r>
    </w:p>
    <w:p>
      <w:pPr>
        <w:pStyle w:val="Heading2"/>
      </w:pPr>
      <w:r>
        <w:t>5.3 Voorbeeld ADR-geïnspireerde afvalclausule (EN)</w:t>
      </w:r>
    </w:p>
    <w:p>
      <w:pPr>
        <w:spacing w:after="120"/>
      </w:pPr>
      <w:r>
        <w:rPr>
          <w:rFonts w:ascii="Calibri" w:hAnsi="Calibri"/>
          <w:b w:val="0"/>
          <w:i w:val="0"/>
          <w:sz w:val="22"/>
        </w:rPr>
        <w:t>Cr(VI)-contaminated waste (PPE, filters, cleaning residues, vacuum contents) is classified, packaged and labelled as hazardous waste in accordance with the Dutch Activities Decree and Waste Management Act; shipments are accompanied by waste transfer notes, transferred only to licensed processors, and sea transport from the platform complies with IMDG requirements for the applicable UN entries.</w:t>
      </w:r>
    </w:p>
    <w:p>
      <w:pPr>
        <w:spacing w:after="80"/>
      </w:pPr>
      <w:r>
        <w:rPr>
          <w:rFonts w:ascii="Calibri" w:hAnsi="Calibri"/>
          <w:b w:val="0"/>
          <w:i/>
          <w:sz w:val="19"/>
        </w:rPr>
        <w:t>ChroomVI Tekstueel Verbeteradvies v3.0 — JvG Consultancy — 24-08-2026 — Vertrouwelijk.</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Tekstueel Verbeteradvies v3.0 — 24-08-2026 — Vertrouwelijk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5231"/>
          <wp:docPr id="1" name="Picture 1"/>
          <wp:cNvGraphicFramePr>
            <a:graphicFrameLocks noChangeAspect="1"/>
          </wp:cNvGraphicFramePr>
          <a:graphic>
            <a:graphicData uri="http://schemas.openxmlformats.org/drawingml/2006/picture">
              <pic:pic>
                <pic:nvPicPr>
                  <pic:cNvPr id="0" name="jvg-logo-small-upgrade.png"/>
                  <pic:cNvPicPr/>
                </pic:nvPicPr>
                <pic:blipFill>
                  <a:blip r:embed="rId1"/>
                  <a:stretch>
                    <a:fillRect/>
                  </a:stretch>
                </pic:blipFill>
                <pic:spPr>
                  <a:xfrm>
                    <a:off x="0" y="0"/>
                    <a:ext cx="720000" cy="64523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