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28"/>
        </w:rPr>
        <w:t>JvG CONSULTANCY — HSEQ</w:t>
      </w:r>
    </w:p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48"/>
        </w:rPr>
        <w:t>KENNISDOSSIER</w:t>
      </w:r>
    </w:p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32"/>
        </w:rPr>
        <w:t>Chroom VI — Blootstellingsbeheersing</w:t>
      </w:r>
    </w:p>
    <w:p>
      <w:pPr>
        <w:spacing w:after="320"/>
        <w:jc w:val="center"/>
      </w:pPr>
      <w:r>
        <w:rPr>
          <w:rFonts w:ascii="Calibri" w:hAnsi="Calibri"/>
          <w:b w:val="0"/>
          <w:i w:val="0"/>
          <w:sz w:val="24"/>
        </w:rPr>
        <w:t>Audit Project: Koole 003.056 / Wintershall Decommissioning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sz w:val="20"/>
        </w:rPr>
        <w:t>Gebaseerd op 003.056 "Chromium VI Exposure Control Procedure" Rev A/Rev 1 (2026)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sz w:val="20"/>
        </w:rPr>
        <w:t>Documentreferentie: JvG-KD-CRVI-2026-002</w:t>
      </w:r>
    </w:p>
    <w:p>
      <w:pPr>
        <w:spacing w:after="400"/>
        <w:jc w:val="center"/>
      </w:pPr>
      <w:r>
        <w:rPr>
          <w:rFonts w:ascii="Calibri" w:hAnsi="Calibri"/>
          <w:b w:val="0"/>
          <w:i/>
          <w:sz w:val="20"/>
        </w:rPr>
        <w:t>Status: Definitief — Vertrouwelijk</w:t>
      </w:r>
    </w:p>
    <w:p>
      <w:pPr>
        <w:pStyle w:val="Heading1"/>
      </w:pPr>
      <w:r>
        <w:t>1. Management Samenvatting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Dit kennisdossier ondersteunt de compliance audit van de Koole-procedure 003.056 “Chromium VI Exposure Control Procedure” (Rev A 02-03-2026 / Rev 1 15-04-2026) in het kader van het Wintershall-decommissioningproject (small piece removal, offshore Noordzee). Het bundelt de achtergrond die nodig is om de procedure op diepteniveau te toetsen: de chemie en bronnen van chroom VI, de toxicologie, het wettelijke kader en de verplichte processtappen.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Kernboodschap: chroom VI (Cr(VI)) is een kankerverwekkende stof (carcinogeen 1B, H350; mutageen 2, H341; sensibiliserend H317) waarvoor in Nederland een verscherpt regime geldt: een wettelijke grenswaarde van slechts 1 µg/m³ (8-uurs TGG), een streefrisiconiveau van 0,01 µg/m³, en de volledige arbo-juridische zorgstructuur voor kankerverwekkende stoffen (meetstrategie NEN-EN 689, arbeidsgezondheidskundig onderzoek, blootstellingsregister, 40-jaar bewaring, RI&amp;E met vervangingsonderbouwing). De chroom-6-dossiers bij Defensie, ProRail en de gemeente Tilburg hebben de handhaving en maatschappelijke gevoeligheid sterk vergroot.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Koole 003.056 is operationeel sterk (gevareninformatie, marking, hiërarchie, hygiëne/PBM-regime) en noemt de grenswaarden correct, maar de formele arbo-juridische verslagleggings- en zorgstructuur ontbreekt vrijwel volledig: 5 P1-hiaten (meetstrategie, AGO, 40-jaar bewaring, RI&amp;E-registratie, blootstellingsregister).</w:t>
      </w:r>
    </w:p>
    <w:p>
      <w:pPr>
        <w:pStyle w:val="Heading1"/>
      </w:pPr>
      <w:r>
        <w:t>2. Chroom VI: Eigenschappen en Gevaren</w:t>
      </w:r>
    </w:p>
    <w:p>
      <w:pPr>
        <w:pStyle w:val="Heading2"/>
      </w:pPr>
      <w:r>
        <w:t>2.1 Wat is chroom VI?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Chroom komt voor in verschillende oxidatietoestanden; de belangrijkste zijn chroom(III) (Cr(III), essentieel sporenelement) en chroom(VI) (hexavalent chroom). Cr(VI)-verbindingen — chroomtrioxide, chromaten, dichromaten, chroomzuur — zijn sterke oxidatoren, overwegend oplosbaar (natrium-/kaliumchromaat) of slecht oplosbaar (loodchromaat, bariumchromaat), en doorgaans geel-oranje gekleurd. In adem bare vorm (stof, nevel, rook) zijn ze kankerverwekkend; de oplosbaarheid bepaalt mede de kinetiek en carcinogeniteit.</w:t>
      </w:r>
    </w:p>
    <w:p>
      <w:pPr>
        <w:pStyle w:val="ListBullet"/>
        <w:spacing w:after="60"/>
      </w:pPr>
      <w:r>
        <w:t>Geharmoniseerde classificatie (representatief): Carc. 1B (H350 — kan kanker veroorzaken bij inademing); Muta. 2 (H341); Repr. 1B (H360Df, verbindingafhankelijk); STOT RE 1 (H372); Sens. 1 (H317); Aquatic Acute/Chronic 1.</w:t>
      </w:r>
    </w:p>
    <w:p>
      <w:pPr>
        <w:pStyle w:val="ListBullet"/>
        <w:spacing w:after="60"/>
      </w:pPr>
      <w:r>
        <w:t>Chroom VI is één van de eerfst geëindigde stoffen op de REACH-autorisatielijst (Bijlage XIV: chroomtrioxide en zuurchromaten, sunset dates 2017/2019).</w:t>
      </w:r>
    </w:p>
    <w:p>
      <w:pPr>
        <w:pStyle w:val="Heading2"/>
      </w:pPr>
      <w:r>
        <w:t>2.2 Bronnen in offshore olie- en gasinstallaties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Bij decommissioning ontstaat Cr(VI)-blootstelling vooral door thermische en mechanische bewerking van chroomhoudende materialen, niet door ‘vrij’ chroom VI-producten:</w:t>
      </w:r>
    </w:p>
    <w:p>
      <w:pPr>
        <w:pStyle w:val="ListBullet"/>
        <w:spacing w:after="60"/>
      </w:pPr>
      <w:r>
        <w:t>Anti-corrosiecoatings en primers (historisch loodchromaat/zinkchromaat-houdende verfsystemen) — bij thermisch snijden, schuren, stralen.</w:t>
      </w:r>
    </w:p>
    <w:p>
      <w:pPr>
        <w:pStyle w:val="ListBullet"/>
        <w:spacing w:after="60"/>
      </w:pPr>
      <w:r>
        <w:t>Roestvast staal (chroom ~18%): lassen en thermisch snijden vormt chroom(VI)oxide-rook (naast nikkel en Cr(III)).</w:t>
      </w:r>
    </w:p>
    <w:p>
      <w:pPr>
        <w:pStyle w:val="ListBullet"/>
        <w:spacing w:after="60"/>
      </w:pPr>
      <w:r>
        <w:t>Verduurzaamd hout (chromium-copper-arsenate, CCA) — bij zagen/schuren van dekwerk en constructies.</w:t>
      </w:r>
    </w:p>
    <w:p>
      <w:pPr>
        <w:pStyle w:val="ListBullet"/>
        <w:spacing w:after="60"/>
      </w:pPr>
      <w:r>
        <w:t>Cement/het beton (historisch chroom VI-reducers verplicht; restblootstelling mogelijk) en chroomtrioxide-passiverings-/galvanisatielijnen.</w:t>
      </w:r>
    </w:p>
    <w:p>
      <w:pPr>
        <w:pStyle w:val="ListBullet"/>
        <w:spacing w:after="60"/>
      </w:pPr>
      <w:r>
        <w:t>Bijkomstig gebruik van Cr(VI)-houdende producten (touch-up primers, roestomvormers, coatingspray) tijdens reparatie/voorbereiding.</w:t>
      </w:r>
    </w:p>
    <w:p>
      <w:pPr>
        <w:pStyle w:val="Heading2"/>
      </w:pPr>
      <w:r>
        <w:t>2.3 Gezondheidseffecten</w:t>
      </w:r>
    </w:p>
    <w:p>
      <w:pPr>
        <w:pStyle w:val="ListBullet"/>
        <w:spacing w:after="60"/>
      </w:pPr>
      <w:r>
        <w:t>Longkanker (H350) — hoofdrisico bij inhalatie; Gezondheidsraad-beredenering achter de NL-grenswaarde: ≈4 extra longkankergevallen per 1.000 werknemers bij 40 jaar dagelijkse blootstelling aan 1 µg/m³.</w:t>
      </w:r>
    </w:p>
    <w:p>
      <w:pPr>
        <w:pStyle w:val="ListBullet"/>
        <w:spacing w:after="60"/>
      </w:pPr>
      <w:r>
        <w:t>Neusholtekanker en neusseptumperforatie/ulceraties — klassieke Cr(VI)-effecten bij hogere blootstelling.</w:t>
      </w:r>
    </w:p>
    <w:p>
      <w:pPr>
        <w:pStyle w:val="ListBullet"/>
        <w:spacing w:after="60"/>
      </w:pPr>
      <w:r>
        <w:t>COPD, astma en allergisch contacteczeem/dermatitis (sensibilisatie H317); irritation van ogen en luchtwegen.</w:t>
      </w:r>
    </w:p>
    <w:p>
      <w:pPr>
        <w:pStyle w:val="ListBullet"/>
        <w:spacing w:after="60"/>
      </w:pPr>
      <w:r>
        <w:t>Vermoedelijk verhoogd risico op maag- en strottenhoofdkanker (IARC-evaluatie).</w:t>
      </w:r>
    </w:p>
    <w:p>
      <w:pPr>
        <w:pStyle w:val="ListBullet"/>
        <w:spacing w:after="60"/>
      </w:pPr>
      <w:r>
        <w:t>Lokale effecten bij huidcontact met oplosbare chromaten (‘chroomzweren’).</w:t>
      </w:r>
    </w:p>
    <w:p>
      <w:pPr>
        <w:pStyle w:val="Heading2"/>
      </w:pPr>
      <w:r>
        <w:t>2.4 Chroom-6-dossiers en maatschappelijke context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De Nederlandse chroom-6-dossiers (Defensie — schilders in kruipspace en hangars; ProRail — spoorwerkers; Rijkswaterstaat; gemeente Tilburg — verfspatten) hebben geleid tot parlementaire vragen, gezondheidsonderzoek en een landelijk beheersregime. Voor een decommissioningproject betekent dit dat documentatie, registratie en verifieerbaarheid van beheersmaatregelen extra belangrijk zijn — zowel voor de huidige werknemers als voor toekomstige aanspraken (40-jaars bewaarplicht).</w:t>
      </w:r>
    </w:p>
    <w:p>
      <w:pPr>
        <w:pStyle w:val="Heading1"/>
      </w:pPr>
      <w:r>
        <w:t>3. Wettelijk Kader</w:t>
      </w:r>
    </w:p>
    <w:p>
      <w:pPr>
        <w:pStyle w:val="Heading2"/>
      </w:pPr>
      <w:r>
        <w:t>3.1 Primaire wetgeving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Instrument</w:t>
            </w:r>
          </w:p>
        </w:tc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Relevantie voor Cr(VI) / offshore decommissioning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Arbeidsomstandighedenwet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Zorgplicht (art. 3), RI&amp;E (art. 5), instructie (art. 8).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Arbobesluit H4 Afdeling 3 (kankerverwekkende/mutagene/reprotoxische stoffen)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Art. 4.2 lid 1+4 (beoordeling + meetstrategie); 4.2a (vervanging); 4.10a (AGO); 4.10c (40-jaar bewaring); 4.13 (RI&amp;E + plan van aanpak); 4.15 (blootstellingsregister); 4.21 (abnormale blootstelling).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Arbeidsomstandighedenregeling / SER-lijst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Grenswaarde Cr(VI): 1 µg/m³ (8-uurs TGG) sinds 1-3-2017; geen afzonderlijke STEL.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REACH (EG) 1907/2006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Bijlage XIV-autorisatie chroomtrioxide/zuurchromaten; SDS-plicht (art. 31).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CLP (EG) 1272/2008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H350/H341/H317 e.a.; etikettering en verpakking.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Richtlijn (EU) 2017/2398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Wijziging KMR-richtlijn 2004/37/EG — verlaging grenswaarden, versterkte verplichtingen.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Besluit activiteiten leefomgeving (Bal) / Wet milieubeheer / LAP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Gevaarlijk afvalregime: afvalstroomklassering, begeleidingsbrief, erkende verwerker; zeetransport vanaf platform.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Beheersregime Chroom-6 (RWS/Defensie/ProRail/RVB)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Branchestandaard met beheersmaatregelenmatrix — referentie voor uitvoering.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Arbo-Informatiebladen 67, 31, 18, 77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Praktijkkader: kankerverwekkende stoffen, gevaarlijke stoffen, PBM, chroom-6.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NEN-EN 689 / NEN-EN 482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Meetstrategie werkplekblootstelling; meetprocedures.</w:t>
            </w:r>
          </w:p>
        </w:tc>
      </w:tr>
    </w:tbl>
    <w:p>
      <w:pPr>
        <w:spacing w:after="40"/>
      </w:pPr>
    </w:p>
    <w:p>
      <w:pPr>
        <w:pStyle w:val="Heading2"/>
      </w:pPr>
      <w:r>
        <w:t>3.2 Grenswaarden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Parameter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Waarde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Bron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Wettelijke grenswaarde Cr(VI) (8-uurs TGG)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 µg/m³ (0,001 mg/m³)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SER-lijst / Arbobesluit, per 1-3-2017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Streefrisiconiveau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0,01 µg/m³ (richtwaarde extra zorg)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SER / AI-blad 77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Belgische OEL (ter vergelijking)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0,005 mg/m³ (5 µg/m³)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Brondocument §6 (Belgisch element)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Beginsel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Most stringent requirement shall be followed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Brondocument §6 — juist beginsel</w:t>
            </w:r>
          </w:p>
        </w:tc>
      </w:tr>
    </w:tbl>
    <w:p>
      <w:pPr>
        <w:spacing w:after="40"/>
      </w:pPr>
    </w:p>
    <w:p>
      <w:pPr>
        <w:pStyle w:val="Heading2"/>
      </w:pPr>
      <w:r>
        <w:t>3.3 Verplichte processtappen voor kankerverwekkende stoffen</w:t>
      </w:r>
    </w:p>
    <w:p>
      <w:pPr>
        <w:pStyle w:val="ListNumber"/>
        <w:spacing w:after="60"/>
      </w:pPr>
      <w:r>
        <w:t>RI&amp;E met tox-elementen: aard, mate en duur van de blootstelling, hoeveelheden, aantal betrokken werknemers, arbeidsvorm (art. 4.13 i.c.m. 4.2 lid 1).</w:t>
      </w:r>
    </w:p>
    <w:p>
      <w:pPr>
        <w:pStyle w:val="ListNumber"/>
        <w:spacing w:after="60"/>
      </w:pPr>
      <w:r>
        <w:t>Vervangingsafweging: vervangen van de stof of — zoals bij decommissioning — keuze van de minst blootstellende techniek (koude snijtechniek i.p.v. thermisch snijden); onderbouwing documenteren (art. 4.2a/4.13).</w:t>
      </w:r>
    </w:p>
    <w:p>
      <w:pPr>
        <w:pStyle w:val="ListNumber"/>
        <w:spacing w:after="60"/>
      </w:pPr>
      <w:r>
        <w:t>Maatregelenhiërarchie (5M/MAC): bron → collectief → individueel → PBM, met taakroulatie en blootstellingstijdbeperking als organisatorische trede.</w:t>
      </w:r>
    </w:p>
    <w:p>
      <w:pPr>
        <w:pStyle w:val="ListNumber"/>
        <w:spacing w:after="60"/>
      </w:pPr>
      <w:r>
        <w:t>Meetstrategie conform NEN-EN 689: baseline- en taakmetingen vóór aanvang, bemonsteringsduur conform NEN-EN 482, toetsing aan 1 µg/m³, hermeet bij overschrijding of gewijzigde werkwijze (art. 4.2 lid 4).</w:t>
      </w:r>
    </w:p>
    <w:p>
      <w:pPr>
        <w:pStyle w:val="ListNumber"/>
        <w:spacing w:after="60"/>
      </w:pPr>
      <w:r>
        <w:t>Voorlichting en instructie aan alle (mogelijk) blootgestelden, inclusief subcontractors (Arbowet art. 8).</w:t>
      </w:r>
    </w:p>
    <w:p>
      <w:pPr>
        <w:pStyle w:val="ListNumber"/>
        <w:spacing w:after="60"/>
      </w:pPr>
      <w:r>
        <w:t>PBM-regime: volgelaatsmasker met P3-filter (≥ 99,95% filtratie) bij stofvormende taken; fit-test bij tight-fitting RPE (AI-blad 18).</w:t>
      </w:r>
    </w:p>
    <w:p>
      <w:pPr>
        <w:pStyle w:val="ListNumber"/>
        <w:spacing w:after="60"/>
      </w:pPr>
      <w:r>
        <w:t>Arbeidsgezondheidskundig onderzoek (AGO) vóór aanvang en periodiek (art. 4.10a).</w:t>
      </w:r>
    </w:p>
    <w:p>
      <w:pPr>
        <w:pStyle w:val="ListNumber"/>
        <w:spacing w:after="60"/>
      </w:pPr>
      <w:r>
        <w:t>Lijst van blootgestelde werknemers met aard/duur van blootstelling en inzage-/afschriftrecht (art. 4.15).</w:t>
      </w:r>
    </w:p>
    <w:p>
      <w:pPr>
        <w:pStyle w:val="ListNumber"/>
        <w:spacing w:after="60"/>
      </w:pPr>
      <w:r>
        <w:t>40-jaar bewaring van blootstellings- en meetgegevens (art. 4.10c), inclusief overdracht bij projecteinde.</w:t>
      </w:r>
    </w:p>
    <w:p>
      <w:pPr>
        <w:pStyle w:val="ListNumber"/>
        <w:spacing w:after="60"/>
      </w:pPr>
      <w:r>
        <w:t>Abnormale blootstelling: onmiddellijke informering, onderzoek, OR/PVT-betrokkenheid (art. 4.21).</w:t>
      </w:r>
    </w:p>
    <w:p>
      <w:pPr>
        <w:pStyle w:val="ListNumber"/>
        <w:spacing w:after="60"/>
      </w:pPr>
      <w:r>
        <w:t>Afvalstroomregime: afvalstroomklassering Cr(VI)-gecontamineerd afval, verpakkings-/etiketteringseisen, afgiftebewijzen, erkende verwerker (Bal/Wet milieubeheer).</w:t>
      </w:r>
    </w:p>
    <w:p>
      <w:pPr>
        <w:pStyle w:val="Heading1"/>
      </w:pPr>
      <w:r>
        <w:t>4. Toetsing Koole-procedure 003.056</w:t>
      </w:r>
    </w:p>
    <w:p>
      <w:pPr>
        <w:pStyle w:val="Heading2"/>
      </w:pPr>
      <w:r>
        <w:t>4.1 Document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Kenmerk</w:t>
            </w:r>
          </w:p>
        </w:tc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Waarde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Titel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003.056 Chromium VI Exposure Control Procedure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Revisie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Rev A (02-03-2026) ‘Issued for Comments’; Rev 1 (15-04-2026) ‘Issued for Implementation’ — versie-inconsistentie vastgesteld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Omvang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12 pagina’s: revision status/log, §1 Purpose and Scope t/m §6 References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Eigenaar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KOO B.V. (Koole Offshore Operations)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Kanttekening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Voettekst ‘Rev. 1 — May 2026’ vs. issue-datum 15-04-2026; lege revision log; Belgische elementen (OEL 0,005 mg/m³)</w:t>
            </w:r>
          </w:p>
        </w:tc>
      </w:tr>
    </w:tbl>
    <w:p>
      <w:pPr>
        <w:spacing w:after="40"/>
      </w:pPr>
    </w:p>
    <w:p>
      <w:pPr>
        <w:pStyle w:val="Heading2"/>
      </w:pPr>
      <w:r>
        <w:t>4.2 Kritieke tekortkomingen (samenvatting P1)</w:t>
      </w:r>
    </w:p>
    <w:p>
      <w:pPr>
        <w:pStyle w:val="ListBullet"/>
        <w:spacing w:after="60"/>
      </w:pPr>
      <w:r>
        <w:t>B1 — Geen meetstrategie conform NEN-EN 689/482; geen toetsing aan de 1 µg/m³ als beoordelingskader (art. 4.2 lid 4).</w:t>
      </w:r>
    </w:p>
    <w:p>
      <w:pPr>
        <w:pStyle w:val="ListBullet"/>
        <w:spacing w:after="60"/>
      </w:pPr>
      <w:r>
        <w:t>B2 — Geen arbeidsgezondheidskundig onderzoek (AGO) vóór aanvang en periodiek (art. 4.10a).</w:t>
      </w:r>
    </w:p>
    <w:p>
      <w:pPr>
        <w:pStyle w:val="ListBullet"/>
        <w:spacing w:after="60"/>
      </w:pPr>
      <w:r>
        <w:t>B3 — Geen 40-jaar bewaar- en overdrachtsregeling van blootstellingsgegevens (art. 4.10c).</w:t>
      </w:r>
    </w:p>
    <w:p>
      <w:pPr>
        <w:pStyle w:val="ListBullet"/>
        <w:spacing w:after="60"/>
      </w:pPr>
      <w:r>
        <w:t>B4 — Geen RI&amp;E-registratie met tox-elementen en geen gedocumenteerde vervangings-/techniekafweging (art. 4.13).</w:t>
      </w:r>
    </w:p>
    <w:p>
      <w:pPr>
        <w:pStyle w:val="ListBullet"/>
        <w:spacing w:after="60"/>
      </w:pPr>
      <w:r>
        <w:t>B5 — Geen lijst van blootgestelde werknemers met inzage-/afschriftrecht (art. 4.15).</w:t>
      </w:r>
    </w:p>
    <w:p>
      <w:pPr>
        <w:pStyle w:val="Heading2"/>
      </w:pPr>
      <w:r>
        <w:t>4.3 Sterke punten (Conform)</w:t>
      </w:r>
    </w:p>
    <w:p>
      <w:pPr>
        <w:pStyle w:val="ListBullet"/>
        <w:spacing w:after="60"/>
      </w:pPr>
      <w:r>
        <w:t>B7 — Grenswaarde 1 µg/m³ en streefrisico 0,01 µg/m³ correct vermeld, inclusief ‘most stringent requirement’-beginsel (§6).</w:t>
      </w:r>
    </w:p>
    <w:p>
      <w:pPr>
        <w:pStyle w:val="ListBullet"/>
        <w:spacing w:after="60"/>
      </w:pPr>
      <w:r>
        <w:t>B15 — Gevareninformatie en gezondheidseffecten volledig en feitelijk juist (§4.1-4.3).</w:t>
      </w:r>
    </w:p>
    <w:p>
      <w:pPr>
        <w:pStyle w:val="ListBullet"/>
        <w:spacing w:after="60"/>
      </w:pPr>
      <w:r>
        <w:t>B16 — Identificatie/marking/surveys en ‘treat as contaminated until confirmed otherwise’ + PTW/TRA-koppeling (§4.4).</w:t>
      </w:r>
    </w:p>
    <w:p>
      <w:pPr>
        <w:pStyle w:val="ListBullet"/>
        <w:spacing w:after="60"/>
      </w:pPr>
      <w:r>
        <w:t>B17 — Hygiëne, decontaminatie en PBM-regime (P3, volgelaatsmasker, 5 m-zone, verbod perslucht) concreet per activiteit (§4.5.1-4.5.3).</w:t>
      </w:r>
    </w:p>
    <w:p>
      <w:pPr>
        <w:pStyle w:val="ListBullet"/>
        <w:spacing w:after="60"/>
      </w:pPr>
      <w:r>
        <w:t>B18 — Rollen en verantwoordelijkheden compleet met stop-work-bevoegdheid (§3).</w:t>
      </w:r>
    </w:p>
    <w:p>
      <w:pPr>
        <w:pStyle w:val="Heading1"/>
      </w:pPr>
      <w:r>
        <w:t>5. Meetstrategie en Beheersmaatregelen (best practice)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Maatregelniveau</w:t>
            </w:r>
          </w:p>
        </w:tc>
        <w:tc>
          <w:tcPr>
            <w:tcW w:type="dxa" w:w="475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Voorbeeld decommissioning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Bron/substitutie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Koude snijtechniek i.p.v. thermisch snijden; werkverwijdering i.p.v. insitu-bewerking; onderbouwde keuze documenteren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Collectief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Extractie/LEV op bron, natte methoden, afzetting + 5 m-restrictiezone, toegangsbeperking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Organisatorisch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Taakroulatie, blootstellingstijdbeperking, planning buiten piekcondities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Individueel/PBM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Volgelaatsmasker P3 bij stofvormende taken; filterinspectie/-vervanging; PBM als gevaarlijk afval afvoeren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Verificatie</w:t>
            </w:r>
          </w:p>
        </w:tc>
        <w:tc>
          <w:tcPr>
            <w:tcW w:type="dxa" w:w="475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Baseline- en taakmetingen (NEN-EN 689/482); registratie; herhaalmeting bij overschrijding of wijziging</w:t>
            </w:r>
          </w:p>
        </w:tc>
      </w:tr>
    </w:tbl>
    <w:p>
      <w:pPr>
        <w:spacing w:after="40"/>
      </w:pPr>
    </w:p>
    <w:p>
      <w:pPr>
        <w:pStyle w:val="Heading1"/>
      </w:pPr>
      <w:r>
        <w:t>6. Referenties</w:t>
      </w:r>
    </w:p>
    <w:p>
      <w:pPr>
        <w:pStyle w:val="ListNumber"/>
        <w:spacing w:after="60"/>
      </w:pPr>
      <w:r>
        <w:t>Koole 003.056 Chromium VI Exposure Control Procedure, Rev A/Rev 1 (2026) — brondocument.</w:t>
      </w:r>
    </w:p>
    <w:p>
      <w:pPr>
        <w:pStyle w:val="ListNumber"/>
        <w:spacing w:after="60"/>
      </w:pPr>
      <w:r>
        <w:t>Arbobesluit Hoofdstuk 4 Afdeling 3; Arbeidsomstandighedenregeling/SER-lijst.</w:t>
      </w:r>
    </w:p>
    <w:p>
      <w:pPr>
        <w:pStyle w:val="ListNumber"/>
        <w:spacing w:after="60"/>
      </w:pPr>
      <w:r>
        <w:t>Arbo-Informatieblad 77 — Chroom-6; AI-bladen 67, 31, 18.</w:t>
      </w:r>
    </w:p>
    <w:p>
      <w:pPr>
        <w:pStyle w:val="ListNumber"/>
        <w:spacing w:after="60"/>
      </w:pPr>
      <w:r>
        <w:t>REACH Bijlage XIV; CLP Bijlage VI; Richtlijn (EU) 2017/2398.</w:t>
      </w:r>
    </w:p>
    <w:p>
      <w:pPr>
        <w:pStyle w:val="ListNumber"/>
        <w:spacing w:after="60"/>
      </w:pPr>
      <w:r>
        <w:t>Bal; Wet milieubeheer/LAP; Beheersregime Chroom-6 (RWS/Defensie/ProRail/RVB).</w:t>
      </w:r>
    </w:p>
    <w:p>
      <w:pPr>
        <w:pStyle w:val="ListNumber"/>
        <w:spacing w:after="60"/>
      </w:pPr>
      <w:r>
        <w:t>NEN-EN 689; NEN-EN 482.</w:t>
      </w:r>
    </w:p>
    <w:p>
      <w:pPr>
        <w:pStyle w:val="ListNumber"/>
        <w:spacing w:after="60"/>
      </w:pPr>
      <w:r>
        <w:t>JvG Compliance Audit 003.056 v1.0-v3.0; Golden Standard Audit ChroomVI 003.056 v2.0.</w:t>
      </w:r>
    </w:p>
    <w:p>
      <w:pPr>
        <w:spacing w:after="80"/>
      </w:pPr>
      <w:r>
        <w:rPr>
          <w:rFonts w:ascii="Calibri" w:hAnsi="Calibri"/>
          <w:b w:val="0"/>
          <w:i/>
          <w:sz w:val="19"/>
        </w:rPr>
        <w:t>Dit kennisdossier is een auditondersteunend document van JvG Consultancy en geen zelfstandig juridisch advies.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366"/>
        <w:sz w:val="16"/>
      </w:rPr>
      <w:t>JvG Consultancy — ChroomVI Kennisdossier v1.0 — 24-08-2026 —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523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small-upgra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52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