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80" w:after="80"/>
        <w:jc w:val="center"/>
      </w:pPr>
      <w:r>
        <w:drawing>
          <wp:inline xmlns:a="http://schemas.openxmlformats.org/drawingml/2006/main" xmlns:pic="http://schemas.openxmlformats.org/drawingml/2006/picture">
            <wp:extent cx="1440000" cy="12924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jvg-consultancy-log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292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ascii="Calibri" w:hAnsi="Calibri"/>
          <w:b/>
          <w:color w:val="003366"/>
          <w:sz w:val="28"/>
        </w:rPr>
        <w:t>JvG CONSULTANCY</w:t>
      </w:r>
    </w:p>
    <w:p>
      <w:pPr>
        <w:spacing w:after="480"/>
        <w:jc w:val="center"/>
      </w:pPr>
      <w:r>
        <w:rPr>
          <w:rFonts w:ascii="Calibri" w:hAnsi="Calibri"/>
          <w:color w:val="374151"/>
          <w:sz w:val="20"/>
        </w:rPr>
        <w:t>Safety • Governance • Advisory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shd w:val="clear" w:color="auto" w:fill="003366"/>
            <w:tcMar>
              <w:top w:w="300" w:type="dxa"/>
              <w:start w:w="300" w:type="dxa"/>
              <w:bottom w:w="300" w:type="dxa"/>
              <w:end w:w="300" w:type="dxa"/>
            </w:tcMar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6"/>
              </w:rPr>
              <w:t>COMPLIANCE AUDIT — VERSIE 3.0</w:t>
            </w:r>
          </w:p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48"/>
              </w:rPr>
              <w:t>ChroomVI — Koole 003.056</w:t>
            </w:r>
          </w:p>
          <w:p>
            <w:pPr>
              <w:jc w:val="center"/>
            </w:pPr>
            <w:r>
              <w:rPr>
                <w:rFonts w:ascii="Calibri" w:hAnsi="Calibri"/>
                <w:color w:val="D1D5DB"/>
                <w:sz w:val="22"/>
              </w:rPr>
              <w:t>Artikelsgewijze toetsing B1–B18 · KPI-overzicht · Gap-analyse v2.0 → v3.0</w:t>
            </w:r>
          </w:p>
        </w:tc>
      </w:tr>
    </w:tbl>
    <w:p/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2835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Gegeven</w:t>
            </w:r>
          </w:p>
        </w:tc>
        <w:tc>
          <w:tcPr>
            <w:tcW w:type="dxa" w:w="6803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Waarde</w:t>
            </w:r>
          </w:p>
        </w:tc>
      </w:tr>
      <w:tr>
        <w:tc>
          <w:tcPr>
            <w:tcW w:type="dxa" w:w="2835"/>
            <w:tcMar>
              <w:top w:w="60" w:type="dxa"/>
              <w:start w:w="100" w:type="dxa"/>
              <w:bottom w:w="60" w:type="dxa"/>
              <w:end w:w="100" w:type="dxa"/>
            </w:tcMar>
          </w:tcPr>
          <w:p>
            <w:r/>
            <w:r>
              <w:rPr>
                <w:rFonts w:ascii="Calibri" w:hAnsi="Calibri"/>
                <w:b w:val="0"/>
                <w:color w:val="1F2937"/>
                <w:sz w:val="20"/>
              </w:rPr>
              <w:t>Opdrachtgever</w:t>
            </w:r>
          </w:p>
        </w:tc>
        <w:tc>
          <w:tcPr>
            <w:tcW w:type="dxa" w:w="6803"/>
            <w:tcMar>
              <w:top w:w="60" w:type="dxa"/>
              <w:start w:w="100" w:type="dxa"/>
              <w:bottom w:w="60" w:type="dxa"/>
              <w:end w:w="100" w:type="dxa"/>
            </w:tcMar>
          </w:tcPr>
          <w:p>
            <w:r/>
            <w:r>
              <w:rPr>
                <w:rFonts w:ascii="Calibri" w:hAnsi="Calibri"/>
                <w:b w:val="0"/>
                <w:color w:val="1F2937"/>
                <w:sz w:val="20"/>
              </w:rPr>
              <w:t>Wintershall</w:t>
            </w:r>
          </w:p>
        </w:tc>
      </w:tr>
      <w:tr>
        <w:tc>
          <w:tcPr>
            <w:tcW w:type="dxa" w:w="2835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F8F9FA"/>
          </w:tcPr>
          <w:p>
            <w:r/>
            <w:r>
              <w:rPr>
                <w:rFonts w:ascii="Calibri" w:hAnsi="Calibri"/>
                <w:b w:val="0"/>
                <w:color w:val="1F2937"/>
                <w:sz w:val="20"/>
              </w:rPr>
              <w:t>Geadresseerde (auditee)</w:t>
            </w:r>
          </w:p>
        </w:tc>
        <w:tc>
          <w:tcPr>
            <w:tcW w:type="dxa" w:w="6803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F8F9FA"/>
          </w:tcPr>
          <w:p>
            <w:r/>
            <w:r>
              <w:rPr>
                <w:rFonts w:ascii="Calibri" w:hAnsi="Calibri"/>
                <w:b w:val="0"/>
                <w:color w:val="1F2937"/>
                <w:sz w:val="20"/>
              </w:rPr>
              <w:t>Koole (KOO B.V.)</w:t>
            </w:r>
          </w:p>
        </w:tc>
      </w:tr>
      <w:tr>
        <w:tc>
          <w:tcPr>
            <w:tcW w:type="dxa" w:w="2835"/>
            <w:tcMar>
              <w:top w:w="60" w:type="dxa"/>
              <w:start w:w="100" w:type="dxa"/>
              <w:bottom w:w="60" w:type="dxa"/>
              <w:end w:w="100" w:type="dxa"/>
            </w:tcMar>
          </w:tcPr>
          <w:p>
            <w:r/>
            <w:r>
              <w:rPr>
                <w:rFonts w:ascii="Calibri" w:hAnsi="Calibri"/>
                <w:b w:val="0"/>
                <w:color w:val="1F2937"/>
                <w:sz w:val="20"/>
              </w:rPr>
              <w:t>Brondocument</w:t>
            </w:r>
          </w:p>
        </w:tc>
        <w:tc>
          <w:tcPr>
            <w:tcW w:type="dxa" w:w="6803"/>
            <w:tcMar>
              <w:top w:w="60" w:type="dxa"/>
              <w:start w:w="100" w:type="dxa"/>
              <w:bottom w:w="60" w:type="dxa"/>
              <w:end w:w="100" w:type="dxa"/>
            </w:tcMar>
          </w:tcPr>
          <w:p>
            <w:r/>
            <w:r>
              <w:rPr>
                <w:rFonts w:ascii="Calibri" w:hAnsi="Calibri"/>
                <w:b w:val="0"/>
                <w:color w:val="1F2937"/>
                <w:sz w:val="20"/>
              </w:rPr>
              <w:t>003.056 Chromium VI Exposure Control Procedure — Rev A (02-03-2026) / Rev 1 (15-04-2026) [1]</w:t>
            </w:r>
          </w:p>
        </w:tc>
      </w:tr>
      <w:tr>
        <w:tc>
          <w:tcPr>
            <w:tcW w:type="dxa" w:w="2835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F8F9FA"/>
          </w:tcPr>
          <w:p>
            <w:r/>
            <w:r>
              <w:rPr>
                <w:rFonts w:ascii="Calibri" w:hAnsi="Calibri"/>
                <w:b w:val="0"/>
                <w:color w:val="1F2937"/>
                <w:sz w:val="20"/>
              </w:rPr>
              <w:t>Project</w:t>
            </w:r>
          </w:p>
        </w:tc>
        <w:tc>
          <w:tcPr>
            <w:tcW w:type="dxa" w:w="6803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F8F9FA"/>
          </w:tcPr>
          <w:p>
            <w:r/>
            <w:r>
              <w:rPr>
                <w:rFonts w:ascii="Calibri" w:hAnsi="Calibri"/>
                <w:b w:val="0"/>
                <w:color w:val="1F2937"/>
                <w:sz w:val="20"/>
              </w:rPr>
              <w:t>2026-audit-koole-chromium-vi — decommissioning offshore platform (Noordzee)</w:t>
            </w:r>
          </w:p>
        </w:tc>
      </w:tr>
      <w:tr>
        <w:tc>
          <w:tcPr>
            <w:tcW w:type="dxa" w:w="2835"/>
            <w:tcMar>
              <w:top w:w="60" w:type="dxa"/>
              <w:start w:w="100" w:type="dxa"/>
              <w:bottom w:w="60" w:type="dxa"/>
              <w:end w:w="100" w:type="dxa"/>
            </w:tcMar>
          </w:tcPr>
          <w:p>
            <w:r/>
            <w:r>
              <w:rPr>
                <w:rFonts w:ascii="Calibri" w:hAnsi="Calibri"/>
                <w:b w:val="0"/>
                <w:color w:val="1F2937"/>
                <w:sz w:val="20"/>
              </w:rPr>
              <w:t>Audittype</w:t>
            </w:r>
          </w:p>
        </w:tc>
        <w:tc>
          <w:tcPr>
            <w:tcW w:type="dxa" w:w="6803"/>
            <w:tcMar>
              <w:top w:w="60" w:type="dxa"/>
              <w:start w:w="100" w:type="dxa"/>
              <w:bottom w:w="60" w:type="dxa"/>
              <w:end w:w="100" w:type="dxa"/>
            </w:tcMar>
          </w:tcPr>
          <w:p>
            <w:r/>
            <w:r>
              <w:rPr>
                <w:rFonts w:ascii="Calibri" w:hAnsi="Calibri"/>
                <w:b w:val="0"/>
                <w:color w:val="1F2937"/>
                <w:sz w:val="20"/>
              </w:rPr>
              <w:t>Document-based compliance audit tegen het Nederlandse arbo-juridisch kader</w:t>
            </w:r>
          </w:p>
        </w:tc>
      </w:tr>
      <w:tr>
        <w:tc>
          <w:tcPr>
            <w:tcW w:type="dxa" w:w="2835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F8F9FA"/>
          </w:tcPr>
          <w:p>
            <w:r/>
            <w:r>
              <w:rPr>
                <w:rFonts w:ascii="Calibri" w:hAnsi="Calibri"/>
                <w:b w:val="0"/>
                <w:color w:val="1F2937"/>
                <w:sz w:val="20"/>
              </w:rPr>
              <w:t>Iteratie</w:t>
            </w:r>
          </w:p>
        </w:tc>
        <w:tc>
          <w:tcPr>
            <w:tcW w:type="dxa" w:w="6803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F8F9FA"/>
          </w:tcPr>
          <w:p>
            <w:r/>
            <w:r>
              <w:rPr>
                <w:rFonts w:ascii="Calibri" w:hAnsi="Calibri"/>
                <w:b w:val="0"/>
                <w:color w:val="1F2937"/>
                <w:sz w:val="20"/>
              </w:rPr>
              <w:t>v1.0 → v2.0 → v3.0 (alle v2.0-bevindingen overgenomen en her valideerd)</w:t>
            </w:r>
          </w:p>
        </w:tc>
      </w:tr>
      <w:tr>
        <w:tc>
          <w:tcPr>
            <w:tcW w:type="dxa" w:w="2835"/>
            <w:tcMar>
              <w:top w:w="60" w:type="dxa"/>
              <w:start w:w="100" w:type="dxa"/>
              <w:bottom w:w="60" w:type="dxa"/>
              <w:end w:w="100" w:type="dxa"/>
            </w:tcMar>
          </w:tcPr>
          <w:p>
            <w:r/>
            <w:r>
              <w:rPr>
                <w:rFonts w:ascii="Calibri" w:hAnsi="Calibri"/>
                <w:b w:val="0"/>
                <w:color w:val="1F2937"/>
                <w:sz w:val="20"/>
              </w:rPr>
              <w:t>Datum / versie</w:t>
            </w:r>
          </w:p>
        </w:tc>
        <w:tc>
          <w:tcPr>
            <w:tcW w:type="dxa" w:w="6803"/>
            <w:tcMar>
              <w:top w:w="60" w:type="dxa"/>
              <w:start w:w="100" w:type="dxa"/>
              <w:bottom w:w="60" w:type="dxa"/>
              <w:end w:w="100" w:type="dxa"/>
            </w:tcMar>
          </w:tcPr>
          <w:p>
            <w:r/>
            <w:r>
              <w:rPr>
                <w:rFonts w:ascii="Calibri" w:hAnsi="Calibri"/>
                <w:b w:val="0"/>
                <w:color w:val="1F2937"/>
                <w:sz w:val="20"/>
              </w:rPr>
              <w:t>2026-08-25 · v3.0</w:t>
            </w:r>
          </w:p>
        </w:tc>
      </w:tr>
      <w:tr>
        <w:tc>
          <w:tcPr>
            <w:tcW w:type="dxa" w:w="2835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F8F9FA"/>
          </w:tcPr>
          <w:p>
            <w:r/>
            <w:r>
              <w:rPr>
                <w:rFonts w:ascii="Calibri" w:hAnsi="Calibri"/>
                <w:b w:val="0"/>
                <w:color w:val="1F2937"/>
                <w:sz w:val="20"/>
              </w:rPr>
              <w:t>Samensteller</w:t>
            </w:r>
          </w:p>
        </w:tc>
        <w:tc>
          <w:tcPr>
            <w:tcW w:type="dxa" w:w="6803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F8F9FA"/>
          </w:tcPr>
          <w:p>
            <w:r/>
            <w:r>
              <w:rPr>
                <w:rFonts w:ascii="Calibri" w:hAnsi="Calibri"/>
                <w:b w:val="0"/>
                <w:color w:val="1F2937"/>
                <w:sz w:val="20"/>
              </w:rPr>
              <w:t>JvG Consultancy — HSEQ Divisie</w:t>
            </w:r>
          </w:p>
        </w:tc>
      </w:tr>
      <w:tr>
        <w:tc>
          <w:tcPr>
            <w:tcW w:type="dxa" w:w="2835"/>
            <w:tcMar>
              <w:top w:w="60" w:type="dxa"/>
              <w:start w:w="100" w:type="dxa"/>
              <w:bottom w:w="60" w:type="dxa"/>
              <w:end w:w="100" w:type="dxa"/>
            </w:tcMar>
          </w:tcPr>
          <w:p>
            <w:r/>
            <w:r>
              <w:rPr>
                <w:rFonts w:ascii="Calibri" w:hAnsi="Calibri"/>
                <w:b w:val="0"/>
                <w:color w:val="1F2937"/>
                <w:sz w:val="20"/>
              </w:rPr>
              <w:t>Status</w:t>
            </w:r>
          </w:p>
        </w:tc>
        <w:tc>
          <w:tcPr>
            <w:tcW w:type="dxa" w:w="6803"/>
            <w:tcMar>
              <w:top w:w="60" w:type="dxa"/>
              <w:start w:w="100" w:type="dxa"/>
              <w:bottom w:w="60" w:type="dxa"/>
              <w:end w:w="100" w:type="dxa"/>
            </w:tcMar>
          </w:tcPr>
          <w:p>
            <w:r/>
            <w:r>
              <w:rPr>
                <w:rFonts w:ascii="Calibri" w:hAnsi="Calibri"/>
                <w:b w:val="0"/>
                <w:color w:val="1F2937"/>
                <w:sz w:val="20"/>
              </w:rPr>
              <w:t>Definitief — Vertrouwelijk</w:t>
            </w:r>
          </w:p>
        </w:tc>
      </w:tr>
    </w:tbl>
    <w:p/>
    <w:p>
      <w:pPr>
        <w:jc w:val="center"/>
      </w:pPr>
      <w:r>
        <w:rPr>
          <w:rFonts w:ascii="Calibri" w:hAnsi="Calibri"/>
          <w:i/>
          <w:color w:val="374151"/>
          <w:sz w:val="17"/>
        </w:rPr>
        <w:t>Vertrouwelijk — uitsluitend bestemd voor opdrachtgever en projectorganisatie</w:t>
      </w:r>
    </w:p>
    <w:p>
      <w:r>
        <w:br w:type="page"/>
      </w:r>
    </w:p>
    <w:p>
      <w:pPr>
        <w:spacing w:before="360" w:after="160"/>
        <w:pBdr>
          <w:bottom w:val="single" w:sz="12" w:space="4" w:color="003366"/>
        </w:pBdr>
      </w:pPr>
      <w:r>
        <w:rPr>
          <w:rFonts w:ascii="Calibri" w:hAnsi="Calibri"/>
          <w:b/>
          <w:color w:val="003366"/>
          <w:sz w:val="32"/>
        </w:rPr>
        <w:t>1. Managementsamenvatting</w:t>
      </w:r>
    </w:p>
    <w:p>
      <w:r>
        <w:rPr>
          <w:rFonts w:ascii="Calibri" w:hAnsi="Calibri"/>
          <w:i w:val="0"/>
          <w:color w:val="1F2937"/>
          <w:sz w:val="22"/>
        </w:rPr>
        <w:t>Het brondocument 003.056 Chromium VI Exposure Control Procedure (Rev A/Rev 1, 2026) is een degelijke, praktisch uitvoerbare operationele procedure op het gebied van gevareninformatie, marking, hiërarchie van beheersmaatregelen, hygiëne/decontaminatie en PBM-regime. De procedure noemt de Nederlandse grenswaarde (1 µg/m³) en het streefrisiconiveau (0,01 µg/m³) correct (§6) [3][7]. Echter, de formele arbo-juridische verslagleggings- en zorgstructuur ontbreekt vrijwel volledig: geen meetstrategie conform NEN-EN 689, geen arbeidsgezondheidskundig onderzoek (AGO), geen 40-jaar bewaartermijn, geen lijst van blootgestelde werknemers en geen expliciete RI&amp;E-registratie met vervangingsonderbouwing. Dit zijn verplichtingen uit het Arbobesluit (Hoofdstuk 4, Afdeling 3) die niet via TRA/JSA-verwijzingen kunnen worden afgedekt [2].</w:t>
      </w:r>
    </w:p>
    <w:p>
      <w:r>
        <w:rPr>
          <w:rFonts w:ascii="Calibri" w:hAnsi="Calibri"/>
          <w:i w:val="0"/>
          <w:color w:val="1F2937"/>
          <w:sz w:val="22"/>
        </w:rPr>
        <w:t>Kernoordeel: herziening H1–H5 is vereist vóór projectuitvoering; H6–H12 in dezelfde of een opvolgende revisie. Voor kankerverwekkende stoffen geldt in Nederland verscherpte aandacht, mede gezien de chroom-6-dossiers bij Defensie, ProRail en de gemeente Tilburg [3]. In deze versie 3.0 zijn alle v2.0-bevindingen overgenomen en opnieuw gevalideerd tegen het brondocument, is de artikelsgewijze toetsing volledig in dit rapport geïntegreerd en is een P3-laag met drie aanvullende verbeterpunten (G-01 t/m G-03) toegevoegd.</w:t>
      </w:r>
    </w:p>
    <w:p>
      <w:pPr>
        <w:spacing w:before="360" w:after="160"/>
        <w:pBdr>
          <w:bottom w:val="single" w:sz="12" w:space="4" w:color="003366"/>
        </w:pBdr>
      </w:pPr>
      <w:r>
        <w:rPr>
          <w:rFonts w:ascii="Calibri" w:hAnsi="Calibri"/>
          <w:b/>
          <w:color w:val="003366"/>
          <w:sz w:val="32"/>
        </w:rPr>
        <w:t>2. KPI-overzicht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535"/>
            <w:shd w:val="clear" w:color="auto" w:fill="FEF2F2"/>
            <w:tcMar>
              <w:top w:w="140" w:type="dxa"/>
              <w:start w:w="200" w:type="dxa"/>
              <w:bottom w:w="140" w:type="dxa"/>
              <w:end w:w="200" w:type="dxa"/>
            </w:tcMar>
          </w:tcPr>
          <w:p>
            <w:pPr>
              <w:spacing w:after="40"/>
              <w:jc w:val="center"/>
            </w:pPr>
            <w:r/>
            <w:r>
              <w:rPr>
                <w:rFonts w:ascii="Calibri" w:hAnsi="Calibri"/>
                <w:b/>
                <w:color w:val="EF4444"/>
                <w:sz w:val="22"/>
              </w:rPr>
              <w:t>5</w:t>
            </w:r>
          </w:p>
          <w:p>
            <w:pPr>
              <w:spacing w:after="40"/>
              <w:jc w:val="center"/>
            </w:pPr>
            <w:r>
              <w:rPr>
                <w:rFonts w:ascii="Calibri" w:hAnsi="Calibri"/>
                <w:color w:val="EF4444"/>
              </w:rPr>
              <w:t>P1 — Kritiek</w:t>
            </w:r>
          </w:p>
          <w:p>
            <w:pPr>
              <w:jc w:val="center"/>
            </w:pPr>
            <w:r>
              <w:rPr>
                <w:rFonts w:ascii="Calibri" w:hAnsi="Calibri"/>
                <w:color w:val="374151"/>
                <w:sz w:val="17"/>
              </w:rPr>
              <w:t>Wettelijk verplicht en ontbreekt (B1–B5; B13*)</w:t>
            </w:r>
          </w:p>
        </w:tc>
        <w:tc>
          <w:tcPr>
            <w:tcW w:type="dxa" w:w="4535"/>
            <w:shd w:val="clear" w:color="auto" w:fill="FFFBEB"/>
            <w:tcMar>
              <w:top w:w="140" w:type="dxa"/>
              <w:start w:w="200" w:type="dxa"/>
              <w:bottom w:w="140" w:type="dxa"/>
              <w:end w:w="200" w:type="dxa"/>
            </w:tcMar>
          </w:tcPr>
          <w:p>
            <w:pPr>
              <w:spacing w:after="40"/>
              <w:jc w:val="center"/>
            </w:pPr>
            <w:r/>
            <w:r>
              <w:rPr>
                <w:rFonts w:ascii="Calibri" w:hAnsi="Calibri"/>
                <w:b/>
                <w:color w:val="B45309"/>
                <w:sz w:val="22"/>
              </w:rPr>
              <w:t>7</w:t>
            </w:r>
          </w:p>
          <w:p>
            <w:pPr>
              <w:spacing w:after="40"/>
              <w:jc w:val="center"/>
            </w:pPr>
            <w:r>
              <w:rPr>
                <w:rFonts w:ascii="Calibri" w:hAnsi="Calibri"/>
                <w:color w:val="B45309"/>
              </w:rPr>
              <w:t>P2 — Verbetering</w:t>
            </w:r>
          </w:p>
          <w:p>
            <w:pPr>
              <w:jc w:val="center"/>
            </w:pPr>
            <w:r>
              <w:rPr>
                <w:rFonts w:ascii="Calibri" w:hAnsi="Calibri"/>
                <w:color w:val="374151"/>
                <w:sz w:val="17"/>
              </w:rPr>
              <w:t>Verplicht/verwacht en onvolledig (B6, B8–B12, B14)</w:t>
            </w:r>
          </w:p>
        </w:tc>
      </w:tr>
      <w:tr>
        <w:tc>
          <w:tcPr>
            <w:tcW w:type="dxa" w:w="4535"/>
            <w:shd w:val="clear" w:color="auto" w:fill="EFF6FF"/>
            <w:tcMar>
              <w:top w:w="140" w:type="dxa"/>
              <w:start w:w="200" w:type="dxa"/>
              <w:bottom w:w="140" w:type="dxa"/>
              <w:end w:w="200" w:type="dxa"/>
            </w:tcMar>
          </w:tcPr>
          <w:p>
            <w:pPr>
              <w:spacing w:after="40"/>
              <w:jc w:val="center"/>
            </w:pPr>
            <w:r/>
            <w:r>
              <w:rPr>
                <w:rFonts w:ascii="Calibri" w:hAnsi="Calibri"/>
                <w:b/>
                <w:color w:val="3B82F6"/>
                <w:sz w:val="22"/>
              </w:rPr>
              <w:t>3</w:t>
            </w:r>
          </w:p>
          <w:p>
            <w:pPr>
              <w:spacing w:after="40"/>
              <w:jc w:val="center"/>
            </w:pPr>
            <w:r>
              <w:rPr>
                <w:rFonts w:ascii="Calibri" w:hAnsi="Calibri"/>
                <w:color w:val="3B82F6"/>
              </w:rPr>
              <w:t>P3 — Aanvullend</w:t>
            </w:r>
          </w:p>
          <w:p>
            <w:pPr>
              <w:jc w:val="center"/>
            </w:pPr>
            <w:r>
              <w:rPr>
                <w:rFonts w:ascii="Calibri" w:hAnsi="Calibri"/>
                <w:color w:val="374151"/>
                <w:sz w:val="17"/>
              </w:rPr>
              <w:t>Nieuw in v3.0 (G-01 t/m G-03)</w:t>
            </w:r>
          </w:p>
        </w:tc>
        <w:tc>
          <w:tcPr>
            <w:tcW w:type="dxa" w:w="4535"/>
            <w:shd w:val="clear" w:color="auto" w:fill="F0FDF4"/>
            <w:tcMar>
              <w:top w:w="140" w:type="dxa"/>
              <w:start w:w="200" w:type="dxa"/>
              <w:bottom w:w="140" w:type="dxa"/>
              <w:end w:w="200" w:type="dxa"/>
            </w:tcMar>
          </w:tcPr>
          <w:p>
            <w:pPr>
              <w:spacing w:after="40"/>
              <w:jc w:val="center"/>
            </w:pPr>
            <w:r/>
            <w:r>
              <w:rPr>
                <w:rFonts w:ascii="Calibri" w:hAnsi="Calibri"/>
                <w:b/>
                <w:color w:val="00A859"/>
                <w:sz w:val="22"/>
              </w:rPr>
              <w:t>6</w:t>
            </w:r>
          </w:p>
          <w:p>
            <w:pPr>
              <w:spacing w:after="40"/>
              <w:jc w:val="center"/>
            </w:pPr>
            <w:r>
              <w:rPr>
                <w:rFonts w:ascii="Calibri" w:hAnsi="Calibri"/>
                <w:color w:val="00A859"/>
              </w:rPr>
              <w:t>Conform</w:t>
            </w:r>
          </w:p>
          <w:p>
            <w:pPr>
              <w:jc w:val="center"/>
            </w:pPr>
            <w:r>
              <w:rPr>
                <w:rFonts w:ascii="Calibri" w:hAnsi="Calibri"/>
                <w:color w:val="374151"/>
                <w:sz w:val="17"/>
              </w:rPr>
              <w:t>Voldoet — handhaven als best practice (B7, B15–B18)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3402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003366"/>
          </w:tcPr>
          <w:p>
            <w:r/>
            <w:r>
              <w:rPr>
                <w:rFonts w:ascii="Calibri" w:hAnsi="Calibri"/>
                <w:b/>
                <w:color w:val="FFFFFF"/>
                <w:sz w:val="19"/>
              </w:rPr>
              <w:t>KPI</w:t>
            </w:r>
          </w:p>
        </w:tc>
        <w:tc>
          <w:tcPr>
            <w:tcW w:type="dxa" w:w="1928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003366"/>
          </w:tcPr>
          <w:p>
            <w:r/>
            <w:r>
              <w:rPr>
                <w:rFonts w:ascii="Calibri" w:hAnsi="Calibri"/>
                <w:b/>
                <w:color w:val="FFFFFF"/>
                <w:sz w:val="19"/>
              </w:rPr>
              <w:t>v1.0 (24-08)</w:t>
            </w:r>
          </w:p>
        </w:tc>
        <w:tc>
          <w:tcPr>
            <w:tcW w:type="dxa" w:w="1928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003366"/>
          </w:tcPr>
          <w:p>
            <w:r/>
            <w:r>
              <w:rPr>
                <w:rFonts w:ascii="Calibri" w:hAnsi="Calibri"/>
                <w:b/>
                <w:color w:val="FFFFFF"/>
                <w:sz w:val="19"/>
              </w:rPr>
              <w:t>v2.0 (24-08)</w:t>
            </w:r>
          </w:p>
        </w:tc>
        <w:tc>
          <w:tcPr>
            <w:tcW w:type="dxa" w:w="1928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003366"/>
          </w:tcPr>
          <w:p>
            <w:r/>
            <w:r>
              <w:rPr>
                <w:rFonts w:ascii="Calibri" w:hAnsi="Calibri"/>
                <w:b/>
                <w:color w:val="FFFFFF"/>
                <w:sz w:val="19"/>
              </w:rPr>
              <w:t>v3.0 (25-08)</w:t>
            </w:r>
          </w:p>
        </w:tc>
      </w:tr>
      <w:tr>
        <w:tc>
          <w:tcPr>
            <w:tcW w:type="dxa" w:w="3402"/>
            <w:tcMar>
              <w:top w:w="60" w:type="dxa"/>
              <w:start w:w="100" w:type="dxa"/>
              <w:bottom w:w="60" w:type="dxa"/>
              <w:end w:w="100" w:type="dxa"/>
            </w:tcMar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P1 — Kritiek</w:t>
            </w:r>
          </w:p>
        </w:tc>
        <w:tc>
          <w:tcPr>
            <w:tcW w:type="dxa" w:w="1928"/>
            <w:tcMar>
              <w:top w:w="60" w:type="dxa"/>
              <w:start w:w="100" w:type="dxa"/>
              <w:bottom w:w="60" w:type="dxa"/>
              <w:end w:w="100" w:type="dxa"/>
            </w:tcMar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5</w:t>
            </w:r>
          </w:p>
        </w:tc>
        <w:tc>
          <w:tcPr>
            <w:tcW w:type="dxa" w:w="1928"/>
            <w:tcMar>
              <w:top w:w="60" w:type="dxa"/>
              <w:start w:w="100" w:type="dxa"/>
              <w:bottom w:w="60" w:type="dxa"/>
              <w:end w:w="100" w:type="dxa"/>
            </w:tcMar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5</w:t>
            </w:r>
          </w:p>
        </w:tc>
        <w:tc>
          <w:tcPr>
            <w:tcW w:type="dxa" w:w="1928"/>
            <w:tcMar>
              <w:top w:w="60" w:type="dxa"/>
              <w:start w:w="100" w:type="dxa"/>
              <w:bottom w:w="60" w:type="dxa"/>
              <w:end w:w="100" w:type="dxa"/>
            </w:tcMar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5</w:t>
            </w:r>
          </w:p>
        </w:tc>
      </w:tr>
      <w:tr>
        <w:tc>
          <w:tcPr>
            <w:tcW w:type="dxa" w:w="3402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F8F9FA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P2 — Verbetering</w:t>
            </w:r>
          </w:p>
        </w:tc>
        <w:tc>
          <w:tcPr>
            <w:tcW w:type="dxa" w:w="1928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F8F9FA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7</w:t>
            </w:r>
          </w:p>
        </w:tc>
        <w:tc>
          <w:tcPr>
            <w:tcW w:type="dxa" w:w="1928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F8F9FA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7</w:t>
            </w:r>
          </w:p>
        </w:tc>
        <w:tc>
          <w:tcPr>
            <w:tcW w:type="dxa" w:w="1928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F8F9FA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7</w:t>
            </w:r>
          </w:p>
        </w:tc>
      </w:tr>
      <w:tr>
        <w:tc>
          <w:tcPr>
            <w:tcW w:type="dxa" w:w="3402"/>
            <w:tcMar>
              <w:top w:w="60" w:type="dxa"/>
              <w:start w:w="100" w:type="dxa"/>
              <w:bottom w:w="60" w:type="dxa"/>
              <w:end w:w="100" w:type="dxa"/>
            </w:tcMar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P3 — Aanvullend</w:t>
            </w:r>
          </w:p>
        </w:tc>
        <w:tc>
          <w:tcPr>
            <w:tcW w:type="dxa" w:w="1928"/>
            <w:tcMar>
              <w:top w:w="60" w:type="dxa"/>
              <w:start w:w="100" w:type="dxa"/>
              <w:bottom w:w="60" w:type="dxa"/>
              <w:end w:w="100" w:type="dxa"/>
            </w:tcMar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0</w:t>
            </w:r>
          </w:p>
        </w:tc>
        <w:tc>
          <w:tcPr>
            <w:tcW w:type="dxa" w:w="1928"/>
            <w:tcMar>
              <w:top w:w="60" w:type="dxa"/>
              <w:start w:w="100" w:type="dxa"/>
              <w:bottom w:w="60" w:type="dxa"/>
              <w:end w:w="100" w:type="dxa"/>
            </w:tcMar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0</w:t>
            </w:r>
          </w:p>
        </w:tc>
        <w:tc>
          <w:tcPr>
            <w:tcW w:type="dxa" w:w="1928"/>
            <w:tcMar>
              <w:top w:w="60" w:type="dxa"/>
              <w:start w:w="100" w:type="dxa"/>
              <w:bottom w:w="60" w:type="dxa"/>
              <w:end w:w="100" w:type="dxa"/>
            </w:tcMar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3</w:t>
            </w:r>
          </w:p>
        </w:tc>
      </w:tr>
      <w:tr>
        <w:tc>
          <w:tcPr>
            <w:tcW w:type="dxa" w:w="3402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F8F9FA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Conform</w:t>
            </w:r>
          </w:p>
        </w:tc>
        <w:tc>
          <w:tcPr>
            <w:tcW w:type="dxa" w:w="1928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F8F9FA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6</w:t>
            </w:r>
          </w:p>
        </w:tc>
        <w:tc>
          <w:tcPr>
            <w:tcW w:type="dxa" w:w="1928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F8F9FA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6</w:t>
            </w:r>
          </w:p>
        </w:tc>
        <w:tc>
          <w:tcPr>
            <w:tcW w:type="dxa" w:w="1928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F8F9FA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6</w:t>
            </w:r>
          </w:p>
        </w:tc>
      </w:tr>
      <w:tr>
        <w:tc>
          <w:tcPr>
            <w:tcW w:type="dxa" w:w="3402"/>
            <w:tcMar>
              <w:top w:w="60" w:type="dxa"/>
              <w:start w:w="100" w:type="dxa"/>
              <w:bottom w:w="60" w:type="dxa"/>
              <w:end w:w="100" w:type="dxa"/>
            </w:tcMar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Totaal beoordeelde items</w:t>
            </w:r>
          </w:p>
        </w:tc>
        <w:tc>
          <w:tcPr>
            <w:tcW w:type="dxa" w:w="1928"/>
            <w:tcMar>
              <w:top w:w="60" w:type="dxa"/>
              <w:start w:w="100" w:type="dxa"/>
              <w:bottom w:w="60" w:type="dxa"/>
              <w:end w:w="100" w:type="dxa"/>
            </w:tcMar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18</w:t>
            </w:r>
          </w:p>
        </w:tc>
        <w:tc>
          <w:tcPr>
            <w:tcW w:type="dxa" w:w="1928"/>
            <w:tcMar>
              <w:top w:w="60" w:type="dxa"/>
              <w:start w:w="100" w:type="dxa"/>
              <w:bottom w:w="60" w:type="dxa"/>
              <w:end w:w="100" w:type="dxa"/>
            </w:tcMar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18</w:t>
            </w:r>
          </w:p>
        </w:tc>
        <w:tc>
          <w:tcPr>
            <w:tcW w:type="dxa" w:w="1928"/>
            <w:tcMar>
              <w:top w:w="60" w:type="dxa"/>
              <w:start w:w="100" w:type="dxa"/>
              <w:bottom w:w="60" w:type="dxa"/>
              <w:end w:w="100" w:type="dxa"/>
            </w:tcMar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21</w:t>
            </w:r>
          </w:p>
        </w:tc>
      </w:tr>
    </w:tbl>
    <w:p>
      <w:r>
        <w:rPr>
          <w:rFonts w:ascii="Calibri" w:hAnsi="Calibri"/>
          <w:i w:val="0"/>
          <w:color w:val="1F2937"/>
          <w:sz w:val="19"/>
        </w:rPr>
        <w:t>B13 valt formeel onder B1 en is slechts separaat genummerd omdat de NEN-EN 689/482-referentie in §6 zelfstandig ontbreekt; zonder B13 telt de matrix 17 items. De P1/P2/Conform-verdeling is over alle iteraties stabiel — de auditbevindingen zijn consistent gebleken, ook in de cross-projecttoets tegen de kwik- (003.057) en asbestaudits (003.059).</w:t>
      </w:r>
    </w:p>
    <w:p>
      <w:pPr>
        <w:spacing w:before="360" w:after="160"/>
        <w:pBdr>
          <w:bottom w:val="single" w:sz="12" w:space="4" w:color="003366"/>
        </w:pBdr>
      </w:pPr>
      <w:r>
        <w:rPr>
          <w:rFonts w:ascii="Calibri" w:hAnsi="Calibri"/>
          <w:b/>
          <w:color w:val="003366"/>
          <w:sz w:val="32"/>
        </w:rPr>
        <w:t>3. Toetsingskader</w:t>
      </w:r>
    </w:p>
    <w:p>
      <w:r>
        <w:rPr>
          <w:rFonts w:ascii="Calibri" w:hAnsi="Calibri"/>
          <w:i w:val="0"/>
          <w:color w:val="1F2937"/>
          <w:sz w:val="22"/>
        </w:rPr>
        <w:t>Toetsing vindt plaats tegen het Nederlandse arbo-juridische kader voor kankerverwekkende stoffen, aangevuld met relevant milieurecht en praktijkkaders:</w:t>
      </w:r>
    </w:p>
    <w:p>
      <w:pPr>
        <w:pStyle w:val="ListBullet"/>
      </w:pPr>
      <w:r>
        <w:rPr>
          <w:rFonts w:ascii="Calibri" w:hAnsi="Calibri"/>
          <w:color w:val="1F2937"/>
        </w:rPr>
        <w:t>Arbobesluit Hoofdstuk 4, Afdeling 3 — art. 4.2 lid 1 en 4, 4.2a, 4.10a, 4.10c, 4.13, 4.15, 4.21 [2]</w:t>
      </w:r>
    </w:p>
    <w:p>
      <w:pPr>
        <w:pStyle w:val="ListBullet"/>
      </w:pPr>
      <w:r>
        <w:rPr>
          <w:rFonts w:ascii="Calibri" w:hAnsi="Calibri"/>
          <w:color w:val="1F2937"/>
        </w:rPr>
        <w:t>SER-wettelijke grenswaardenlijst — chroom VI: 1 µg/m³ (8-uurs TGG) [7]</w:t>
      </w:r>
    </w:p>
    <w:p>
      <w:pPr>
        <w:pStyle w:val="ListBullet"/>
      </w:pPr>
      <w:r>
        <w:rPr>
          <w:rFonts w:ascii="Calibri" w:hAnsi="Calibri"/>
          <w:color w:val="1F2937"/>
        </w:rPr>
        <w:t>REACH Verordening (EG) Nr. 1907/2006, Bijlage XIV — autorisatie chroomtrioxide/zuurchromaten [4]</w:t>
      </w:r>
    </w:p>
    <w:p>
      <w:pPr>
        <w:pStyle w:val="ListBullet"/>
      </w:pPr>
      <w:r>
        <w:rPr>
          <w:rFonts w:ascii="Calibri" w:hAnsi="Calibri"/>
          <w:color w:val="1F2937"/>
        </w:rPr>
        <w:t>Richtlijn (EU) 2017/2398 (wijziging KMR-richtlijn 2004/37/EG) — reeds in §6 van het brondocument [9]</w:t>
      </w:r>
    </w:p>
    <w:p>
      <w:pPr>
        <w:pStyle w:val="ListBullet"/>
      </w:pPr>
      <w:r>
        <w:rPr>
          <w:rFonts w:ascii="Calibri" w:hAnsi="Calibri"/>
          <w:color w:val="1F2937"/>
        </w:rPr>
        <w:t>Besluit activiteiten leefomgeving (Bal) en Wet milieubeheer/LAP — gevaarlijk afvalregime [5]</w:t>
      </w:r>
    </w:p>
    <w:p>
      <w:pPr>
        <w:pStyle w:val="ListBullet"/>
      </w:pPr>
      <w:r>
        <w:rPr>
          <w:rFonts w:ascii="Calibri" w:hAnsi="Calibri"/>
          <w:color w:val="1F2937"/>
        </w:rPr>
        <w:t>Beheersregime Chroom-6 (RWS, Defensie, ProRail, Rijksvastgoedbedrijf) [6]</w:t>
      </w:r>
    </w:p>
    <w:p>
      <w:pPr>
        <w:pStyle w:val="ListBullet"/>
      </w:pPr>
      <w:r>
        <w:rPr>
          <w:rFonts w:ascii="Calibri" w:hAnsi="Calibri"/>
          <w:color w:val="1F2937"/>
        </w:rPr>
        <w:t>Arbo-Informatiebladen 67, 31, 18 en 77 [3][10]</w:t>
      </w:r>
    </w:p>
    <w:p>
      <w:pPr>
        <w:pStyle w:val="ListBullet"/>
      </w:pPr>
      <w:r>
        <w:rPr>
          <w:rFonts w:ascii="Calibri" w:hAnsi="Calibri"/>
          <w:color w:val="1F2937"/>
        </w:rPr>
        <w:t>NEN-EN 689 (meetstrategie) en NEN-EN 482 (meetprocedures) [8]</w:t>
      </w:r>
    </w:p>
    <w:p>
      <w:pPr>
        <w:spacing w:before="200" w:after="80"/>
      </w:pPr>
      <w:r>
        <w:rPr>
          <w:rFonts w:ascii="Calibri" w:hAnsi="Calibri"/>
          <w:b/>
          <w:color w:val="003366"/>
          <w:sz w:val="23"/>
        </w:rPr>
        <w:t>Kernfeiten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35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003366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Kernfeit</w:t>
            </w:r>
          </w:p>
        </w:tc>
        <w:tc>
          <w:tcPr>
            <w:tcW w:type="dxa" w:w="4195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003366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Waarde</w:t>
            </w:r>
          </w:p>
        </w:tc>
        <w:tc>
          <w:tcPr>
            <w:tcW w:type="dxa" w:w="2154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003366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Bron</w:t>
            </w:r>
          </w:p>
        </w:tc>
      </w:tr>
      <w:tr>
        <w:tc>
          <w:tcPr>
            <w:tcW w:type="dxa" w:w="2835"/>
            <w:tcMar>
              <w:top w:w="60" w:type="dxa"/>
              <w:start w:w="100" w:type="dxa"/>
              <w:bottom w:w="60" w:type="dxa"/>
              <w:end w:w="100" w:type="dxa"/>
            </w:tcMar>
          </w:tcPr>
          <w:p>
            <w:r/>
            <w:r>
              <w:rPr>
                <w:rFonts w:ascii="Calibri" w:hAnsi="Calibri"/>
                <w:b w:val="0"/>
                <w:color w:val="1F2937"/>
                <w:sz w:val="18"/>
              </w:rPr>
              <w:t>Grenswaarde Cr(VI)</w:t>
            </w:r>
          </w:p>
        </w:tc>
        <w:tc>
          <w:tcPr>
            <w:tcW w:type="dxa" w:w="4195"/>
            <w:tcMar>
              <w:top w:w="60" w:type="dxa"/>
              <w:start w:w="100" w:type="dxa"/>
              <w:bottom w:w="60" w:type="dxa"/>
              <w:end w:w="100" w:type="dxa"/>
            </w:tcMar>
          </w:tcPr>
          <w:p>
            <w:r/>
            <w:r>
              <w:rPr>
                <w:rFonts w:ascii="Calibri" w:hAnsi="Calibri"/>
                <w:b w:val="0"/>
                <w:color w:val="1F2937"/>
                <w:sz w:val="18"/>
              </w:rPr>
              <w:t>1 µg/m³ (8-uurs TGG), per 1-3-2017</w:t>
            </w:r>
          </w:p>
        </w:tc>
        <w:tc>
          <w:tcPr>
            <w:tcW w:type="dxa" w:w="2154"/>
            <w:tcMar>
              <w:top w:w="60" w:type="dxa"/>
              <w:start w:w="100" w:type="dxa"/>
              <w:bottom w:w="60" w:type="dxa"/>
              <w:end w:w="100" w:type="dxa"/>
            </w:tcMar>
          </w:tcPr>
          <w:p>
            <w:r/>
            <w:r>
              <w:rPr>
                <w:rFonts w:ascii="Calibri" w:hAnsi="Calibri"/>
                <w:b w:val="0"/>
                <w:color w:val="1F2937"/>
                <w:sz w:val="18"/>
              </w:rPr>
              <w:t>SER / AI-77 [3][7]</w:t>
            </w:r>
          </w:p>
        </w:tc>
      </w:tr>
      <w:tr>
        <w:tc>
          <w:tcPr>
            <w:tcW w:type="dxa" w:w="2835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F8F9FA"/>
          </w:tcPr>
          <w:p>
            <w:r/>
            <w:r>
              <w:rPr>
                <w:rFonts w:ascii="Calibri" w:hAnsi="Calibri"/>
                <w:b w:val="0"/>
                <w:color w:val="1F2937"/>
                <w:sz w:val="18"/>
              </w:rPr>
              <w:t>Streefrisiconiveau</w:t>
            </w:r>
          </w:p>
        </w:tc>
        <w:tc>
          <w:tcPr>
            <w:tcW w:type="dxa" w:w="4195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F8F9FA"/>
          </w:tcPr>
          <w:p>
            <w:r/>
            <w:r>
              <w:rPr>
                <w:rFonts w:ascii="Calibri" w:hAnsi="Calibri"/>
                <w:b w:val="0"/>
                <w:color w:val="1F2937"/>
                <w:sz w:val="18"/>
              </w:rPr>
              <w:t>0,01 µg/m³</w:t>
            </w:r>
          </w:p>
        </w:tc>
        <w:tc>
          <w:tcPr>
            <w:tcW w:type="dxa" w:w="2154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F8F9FA"/>
          </w:tcPr>
          <w:p>
            <w:r/>
            <w:r>
              <w:rPr>
                <w:rFonts w:ascii="Calibri" w:hAnsi="Calibri"/>
                <w:b w:val="0"/>
                <w:color w:val="1F2937"/>
                <w:sz w:val="18"/>
              </w:rPr>
              <w:t>SER / AI-77 [3]</w:t>
            </w:r>
          </w:p>
        </w:tc>
      </w:tr>
      <w:tr>
        <w:tc>
          <w:tcPr>
            <w:tcW w:type="dxa" w:w="2835"/>
            <w:tcMar>
              <w:top w:w="60" w:type="dxa"/>
              <w:start w:w="100" w:type="dxa"/>
              <w:bottom w:w="60" w:type="dxa"/>
              <w:end w:w="100" w:type="dxa"/>
            </w:tcMar>
          </w:tcPr>
          <w:p>
            <w:r/>
            <w:r>
              <w:rPr>
                <w:rFonts w:ascii="Calibri" w:hAnsi="Calibri"/>
                <w:b w:val="0"/>
                <w:color w:val="1F2937"/>
                <w:sz w:val="18"/>
              </w:rPr>
              <w:t>Gezondheidsraad-beredenering</w:t>
            </w:r>
          </w:p>
        </w:tc>
        <w:tc>
          <w:tcPr>
            <w:tcW w:type="dxa" w:w="4195"/>
            <w:tcMar>
              <w:top w:w="60" w:type="dxa"/>
              <w:start w:w="100" w:type="dxa"/>
              <w:bottom w:w="60" w:type="dxa"/>
              <w:end w:w="100" w:type="dxa"/>
            </w:tcMar>
          </w:tcPr>
          <w:p>
            <w:r/>
            <w:r>
              <w:rPr>
                <w:rFonts w:ascii="Calibri" w:hAnsi="Calibri"/>
                <w:b w:val="0"/>
                <w:color w:val="1F2937"/>
                <w:sz w:val="18"/>
              </w:rPr>
              <w:t>≈ 4 extra longkankergevallen per 1.000 bij 40 jaar × 1 µg/m³</w:t>
            </w:r>
          </w:p>
        </w:tc>
        <w:tc>
          <w:tcPr>
            <w:tcW w:type="dxa" w:w="2154"/>
            <w:tcMar>
              <w:top w:w="60" w:type="dxa"/>
              <w:start w:w="100" w:type="dxa"/>
              <w:bottom w:w="60" w:type="dxa"/>
              <w:end w:w="100" w:type="dxa"/>
            </w:tcMar>
          </w:tcPr>
          <w:p>
            <w:r/>
            <w:r>
              <w:rPr>
                <w:rFonts w:ascii="Calibri" w:hAnsi="Calibri"/>
                <w:b w:val="0"/>
                <w:color w:val="1F2937"/>
                <w:sz w:val="18"/>
              </w:rPr>
              <w:t>AI-77 [3]</w:t>
            </w:r>
          </w:p>
        </w:tc>
      </w:tr>
      <w:tr>
        <w:tc>
          <w:tcPr>
            <w:tcW w:type="dxa" w:w="2835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F8F9FA"/>
          </w:tcPr>
          <w:p>
            <w:r/>
            <w:r>
              <w:rPr>
                <w:rFonts w:ascii="Calibri" w:hAnsi="Calibri"/>
                <w:b w:val="0"/>
                <w:color w:val="1F2937"/>
                <w:sz w:val="18"/>
              </w:rPr>
              <w:t>REACH Bijlage XIV</w:t>
            </w:r>
          </w:p>
        </w:tc>
        <w:tc>
          <w:tcPr>
            <w:tcW w:type="dxa" w:w="4195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F8F9FA"/>
          </w:tcPr>
          <w:p>
            <w:r/>
            <w:r>
              <w:rPr>
                <w:rFonts w:ascii="Calibri" w:hAnsi="Calibri"/>
                <w:b w:val="0"/>
                <w:color w:val="1F2937"/>
                <w:sz w:val="18"/>
              </w:rPr>
              <w:t>Chroomtrioxide/zuurchromaten — sunset dates 2017/2019</w:t>
            </w:r>
          </w:p>
        </w:tc>
        <w:tc>
          <w:tcPr>
            <w:tcW w:type="dxa" w:w="2154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F8F9FA"/>
          </w:tcPr>
          <w:p>
            <w:r/>
            <w:r>
              <w:rPr>
                <w:rFonts w:ascii="Calibri" w:hAnsi="Calibri"/>
                <w:b w:val="0"/>
                <w:color w:val="1F2937"/>
                <w:sz w:val="18"/>
              </w:rPr>
              <w:t>REACH [4]</w:t>
            </w:r>
          </w:p>
        </w:tc>
      </w:tr>
      <w:tr>
        <w:tc>
          <w:tcPr>
            <w:tcW w:type="dxa" w:w="2835"/>
            <w:tcMar>
              <w:top w:w="60" w:type="dxa"/>
              <w:start w:w="100" w:type="dxa"/>
              <w:bottom w:w="60" w:type="dxa"/>
              <w:end w:w="100" w:type="dxa"/>
            </w:tcMar>
          </w:tcPr>
          <w:p>
            <w:r/>
            <w:r>
              <w:rPr>
                <w:rFonts w:ascii="Calibri" w:hAnsi="Calibri"/>
                <w:b w:val="0"/>
                <w:color w:val="1F2937"/>
                <w:sz w:val="18"/>
              </w:rPr>
              <w:t>Versie-inconsistentie brondocument</w:t>
            </w:r>
          </w:p>
        </w:tc>
        <w:tc>
          <w:tcPr>
            <w:tcW w:type="dxa" w:w="4195"/>
            <w:tcMar>
              <w:top w:w="60" w:type="dxa"/>
              <w:start w:w="100" w:type="dxa"/>
              <w:bottom w:w="60" w:type="dxa"/>
              <w:end w:w="100" w:type="dxa"/>
            </w:tcMar>
          </w:tcPr>
          <w:p>
            <w:r/>
            <w:r>
              <w:rPr>
                <w:rFonts w:ascii="Calibri" w:hAnsi="Calibri"/>
                <w:b w:val="0"/>
                <w:color w:val="1F2937"/>
                <w:sz w:val="18"/>
              </w:rPr>
              <w:t>Rev A vs Rev 1; lege revision log; “May 2026”-voettekst</w:t>
            </w:r>
          </w:p>
        </w:tc>
        <w:tc>
          <w:tcPr>
            <w:tcW w:type="dxa" w:w="2154"/>
            <w:tcMar>
              <w:top w:w="60" w:type="dxa"/>
              <w:start w:w="100" w:type="dxa"/>
              <w:bottom w:w="60" w:type="dxa"/>
              <w:end w:w="100" w:type="dxa"/>
            </w:tcMar>
          </w:tcPr>
          <w:p>
            <w:r/>
            <w:r>
              <w:rPr>
                <w:rFonts w:ascii="Calibri" w:hAnsi="Calibri"/>
                <w:b w:val="0"/>
                <w:color w:val="1F2937"/>
                <w:sz w:val="18"/>
              </w:rPr>
              <w:t>Brondocument [1]</w:t>
            </w:r>
          </w:p>
        </w:tc>
      </w:tr>
    </w:tbl>
    <w:p>
      <w:r>
        <w:br w:type="page"/>
      </w:r>
    </w:p>
    <w:p>
      <w:pPr>
        <w:spacing w:before="360" w:after="160"/>
        <w:pBdr>
          <w:bottom w:val="single" w:sz="12" w:space="4" w:color="003366"/>
        </w:pBdr>
      </w:pPr>
      <w:r>
        <w:rPr>
          <w:rFonts w:ascii="Calibri" w:hAnsi="Calibri"/>
          <w:b/>
          <w:color w:val="003366"/>
          <w:sz w:val="32"/>
        </w:rPr>
        <w:t>4. Artikelsgewijze toetsing B1–B18</w:t>
      </w:r>
    </w:p>
    <w:p>
      <w:r>
        <w:rPr>
          <w:rFonts w:ascii="Calibri" w:hAnsi="Calibri"/>
          <w:i w:val="0"/>
          <w:color w:val="1F2937"/>
          <w:sz w:val="20"/>
        </w:rPr>
        <w:t>Elke eis is getoetst aan de integrale tekst van het brondocument (12 pagina's) [1]. De classificatie kent drie niveaus: P1 (wettelijk verplicht, ontbreekt — kritiek), P2 (verplicht/verwacht, onvolledig — verbetering) en Conform. Elke bevinding is 1-op-1 gekoppeld aan een herstelactie (H-nummer) uit het Herzieningsvoorstel [11].</w:t>
      </w:r>
    </w:p>
    <w:p>
      <w:pPr>
        <w:spacing w:before="200" w:after="80"/>
      </w:pPr>
      <w:r>
        <w:rPr>
          <w:rFonts w:ascii="Calibri" w:hAnsi="Calibri"/>
          <w:b/>
          <w:color w:val="003366"/>
          <w:sz w:val="23"/>
        </w:rPr>
        <w:t>4.1 Overzichtsmatrix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907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003366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#</w:t>
            </w:r>
          </w:p>
        </w:tc>
        <w:tc>
          <w:tcPr>
            <w:tcW w:type="dxa" w:w="6236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003366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Eis</w:t>
            </w:r>
          </w:p>
        </w:tc>
        <w:tc>
          <w:tcPr>
            <w:tcW w:type="dxa" w:w="2041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003366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Klasse</w:t>
            </w:r>
          </w:p>
        </w:tc>
      </w:tr>
      <w:tr>
        <w:tc>
          <w:tcPr>
            <w:tcW w:type="dxa" w:w="907"/>
            <w:tcMar>
              <w:top w:w="60" w:type="dxa"/>
              <w:start w:w="100" w:type="dxa"/>
              <w:bottom w:w="60" w:type="dxa"/>
              <w:end w:w="100" w:type="dxa"/>
            </w:tcMar>
          </w:tcPr>
          <w:p>
            <w:r/>
            <w:r>
              <w:rPr>
                <w:rFonts w:ascii="Calibri" w:hAnsi="Calibri"/>
                <w:b w:val="0"/>
                <w:color w:val="1F2937"/>
                <w:sz w:val="18"/>
              </w:rPr>
              <w:t>B1</w:t>
            </w:r>
          </w:p>
        </w:tc>
        <w:tc>
          <w:tcPr>
            <w:tcW w:type="dxa" w:w="6236"/>
            <w:tcMar>
              <w:top w:w="60" w:type="dxa"/>
              <w:start w:w="100" w:type="dxa"/>
              <w:bottom w:w="60" w:type="dxa"/>
              <w:end w:w="100" w:type="dxa"/>
            </w:tcMar>
          </w:tcPr>
          <w:p>
            <w:r/>
            <w:r>
              <w:rPr>
                <w:rFonts w:ascii="Calibri" w:hAnsi="Calibri"/>
                <w:b w:val="0"/>
                <w:color w:val="1F2937"/>
                <w:sz w:val="18"/>
              </w:rPr>
              <w:t>Meetstrategie en toetsing grenswaarde</w:t>
            </w:r>
          </w:p>
        </w:tc>
        <w:tc>
          <w:tcPr>
            <w:tcW w:type="dxa" w:w="2041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FEF2F2"/>
          </w:tcPr>
          <w:p>
            <w:r/>
            <w:r>
              <w:rPr>
                <w:rFonts w:ascii="Calibri" w:hAnsi="Calibri"/>
                <w:b/>
                <w:color w:val="EF4444"/>
                <w:sz w:val="18"/>
              </w:rPr>
              <w:t>P1</w:t>
            </w:r>
          </w:p>
        </w:tc>
      </w:tr>
      <w:tr>
        <w:tc>
          <w:tcPr>
            <w:tcW w:type="dxa" w:w="907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F8F9FA"/>
          </w:tcPr>
          <w:p>
            <w:r/>
            <w:r>
              <w:rPr>
                <w:rFonts w:ascii="Calibri" w:hAnsi="Calibri"/>
                <w:b w:val="0"/>
                <w:color w:val="1F2937"/>
                <w:sz w:val="18"/>
              </w:rPr>
              <w:t>B2</w:t>
            </w:r>
          </w:p>
        </w:tc>
        <w:tc>
          <w:tcPr>
            <w:tcW w:type="dxa" w:w="6236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F8F9FA"/>
          </w:tcPr>
          <w:p>
            <w:r/>
            <w:r>
              <w:rPr>
                <w:rFonts w:ascii="Calibri" w:hAnsi="Calibri"/>
                <w:b w:val="0"/>
                <w:color w:val="1F2937"/>
                <w:sz w:val="18"/>
              </w:rPr>
              <w:t>Arbeidsgezondheidskundig onderzoek (AGO)</w:t>
            </w:r>
          </w:p>
        </w:tc>
        <w:tc>
          <w:tcPr>
            <w:tcW w:type="dxa" w:w="2041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FEF2F2"/>
          </w:tcPr>
          <w:p>
            <w:r/>
            <w:r>
              <w:rPr>
                <w:rFonts w:ascii="Calibri" w:hAnsi="Calibri"/>
                <w:b/>
                <w:color w:val="EF4444"/>
                <w:sz w:val="18"/>
              </w:rPr>
              <w:t>P1</w:t>
            </w:r>
          </w:p>
        </w:tc>
      </w:tr>
      <w:tr>
        <w:tc>
          <w:tcPr>
            <w:tcW w:type="dxa" w:w="907"/>
            <w:tcMar>
              <w:top w:w="60" w:type="dxa"/>
              <w:start w:w="100" w:type="dxa"/>
              <w:bottom w:w="60" w:type="dxa"/>
              <w:end w:w="100" w:type="dxa"/>
            </w:tcMar>
          </w:tcPr>
          <w:p>
            <w:r/>
            <w:r>
              <w:rPr>
                <w:rFonts w:ascii="Calibri" w:hAnsi="Calibri"/>
                <w:b w:val="0"/>
                <w:color w:val="1F2937"/>
                <w:sz w:val="18"/>
              </w:rPr>
              <w:t>B3</w:t>
            </w:r>
          </w:p>
        </w:tc>
        <w:tc>
          <w:tcPr>
            <w:tcW w:type="dxa" w:w="6236"/>
            <w:tcMar>
              <w:top w:w="60" w:type="dxa"/>
              <w:start w:w="100" w:type="dxa"/>
              <w:bottom w:w="60" w:type="dxa"/>
              <w:end w:w="100" w:type="dxa"/>
            </w:tcMar>
          </w:tcPr>
          <w:p>
            <w:r/>
            <w:r>
              <w:rPr>
                <w:rFonts w:ascii="Calibri" w:hAnsi="Calibri"/>
                <w:b w:val="0"/>
                <w:color w:val="1F2937"/>
                <w:sz w:val="18"/>
              </w:rPr>
              <w:t>Bewaartermijn blootstellingsgegevens (40 jaar)</w:t>
            </w:r>
          </w:p>
        </w:tc>
        <w:tc>
          <w:tcPr>
            <w:tcW w:type="dxa" w:w="2041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FEF2F2"/>
          </w:tcPr>
          <w:p>
            <w:r/>
            <w:r>
              <w:rPr>
                <w:rFonts w:ascii="Calibri" w:hAnsi="Calibri"/>
                <w:b/>
                <w:color w:val="EF4444"/>
                <w:sz w:val="18"/>
              </w:rPr>
              <w:t>P1</w:t>
            </w:r>
          </w:p>
        </w:tc>
      </w:tr>
      <w:tr>
        <w:tc>
          <w:tcPr>
            <w:tcW w:type="dxa" w:w="907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F8F9FA"/>
          </w:tcPr>
          <w:p>
            <w:r/>
            <w:r>
              <w:rPr>
                <w:rFonts w:ascii="Calibri" w:hAnsi="Calibri"/>
                <w:b w:val="0"/>
                <w:color w:val="1F2937"/>
                <w:sz w:val="18"/>
              </w:rPr>
              <w:t>B4</w:t>
            </w:r>
          </w:p>
        </w:tc>
        <w:tc>
          <w:tcPr>
            <w:tcW w:type="dxa" w:w="6236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F8F9FA"/>
          </w:tcPr>
          <w:p>
            <w:r/>
            <w:r>
              <w:rPr>
                <w:rFonts w:ascii="Calibri" w:hAnsi="Calibri"/>
                <w:b w:val="0"/>
                <w:color w:val="1F2937"/>
                <w:sz w:val="18"/>
              </w:rPr>
              <w:t>RI&amp;E incl. tox-elementen en vervangingsonderbouwing</w:t>
            </w:r>
          </w:p>
        </w:tc>
        <w:tc>
          <w:tcPr>
            <w:tcW w:type="dxa" w:w="2041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FEF2F2"/>
          </w:tcPr>
          <w:p>
            <w:r/>
            <w:r>
              <w:rPr>
                <w:rFonts w:ascii="Calibri" w:hAnsi="Calibri"/>
                <w:b/>
                <w:color w:val="EF4444"/>
                <w:sz w:val="18"/>
              </w:rPr>
              <w:t>P1</w:t>
            </w:r>
          </w:p>
        </w:tc>
      </w:tr>
      <w:tr>
        <w:tc>
          <w:tcPr>
            <w:tcW w:type="dxa" w:w="907"/>
            <w:tcMar>
              <w:top w:w="60" w:type="dxa"/>
              <w:start w:w="100" w:type="dxa"/>
              <w:bottom w:w="60" w:type="dxa"/>
              <w:end w:w="100" w:type="dxa"/>
            </w:tcMar>
          </w:tcPr>
          <w:p>
            <w:r/>
            <w:r>
              <w:rPr>
                <w:rFonts w:ascii="Calibri" w:hAnsi="Calibri"/>
                <w:b w:val="0"/>
                <w:color w:val="1F2937"/>
                <w:sz w:val="18"/>
              </w:rPr>
              <w:t>B5</w:t>
            </w:r>
          </w:p>
        </w:tc>
        <w:tc>
          <w:tcPr>
            <w:tcW w:type="dxa" w:w="6236"/>
            <w:tcMar>
              <w:top w:w="60" w:type="dxa"/>
              <w:start w:w="100" w:type="dxa"/>
              <w:bottom w:w="60" w:type="dxa"/>
              <w:end w:w="100" w:type="dxa"/>
            </w:tcMar>
          </w:tcPr>
          <w:p>
            <w:r/>
            <w:r>
              <w:rPr>
                <w:rFonts w:ascii="Calibri" w:hAnsi="Calibri"/>
                <w:b w:val="0"/>
                <w:color w:val="1F2937"/>
                <w:sz w:val="18"/>
              </w:rPr>
              <w:t>Lijst van blootgestelde werknemers + inzagerecht</w:t>
            </w:r>
          </w:p>
        </w:tc>
        <w:tc>
          <w:tcPr>
            <w:tcW w:type="dxa" w:w="2041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FEF2F2"/>
          </w:tcPr>
          <w:p>
            <w:r/>
            <w:r>
              <w:rPr>
                <w:rFonts w:ascii="Calibri" w:hAnsi="Calibri"/>
                <w:b/>
                <w:color w:val="EF4444"/>
                <w:sz w:val="18"/>
              </w:rPr>
              <w:t>P1</w:t>
            </w:r>
          </w:p>
        </w:tc>
      </w:tr>
      <w:tr>
        <w:tc>
          <w:tcPr>
            <w:tcW w:type="dxa" w:w="907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F8F9FA"/>
          </w:tcPr>
          <w:p>
            <w:r/>
            <w:r>
              <w:rPr>
                <w:rFonts w:ascii="Calibri" w:hAnsi="Calibri"/>
                <w:b w:val="0"/>
                <w:color w:val="1F2937"/>
                <w:sz w:val="18"/>
              </w:rPr>
              <w:t>B6</w:t>
            </w:r>
          </w:p>
        </w:tc>
        <w:tc>
          <w:tcPr>
            <w:tcW w:type="dxa" w:w="6236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F8F9FA"/>
          </w:tcPr>
          <w:p>
            <w:r/>
            <w:r>
              <w:rPr>
                <w:rFonts w:ascii="Calibri" w:hAnsi="Calibri"/>
                <w:b w:val="0"/>
                <w:color w:val="1F2937"/>
                <w:sz w:val="18"/>
              </w:rPr>
              <w:t>Abnormale blootstelling: melding + OR/PVT</w:t>
            </w:r>
          </w:p>
        </w:tc>
        <w:tc>
          <w:tcPr>
            <w:tcW w:type="dxa" w:w="2041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FFFBEB"/>
          </w:tcPr>
          <w:p>
            <w:r/>
            <w:r>
              <w:rPr>
                <w:rFonts w:ascii="Calibri" w:hAnsi="Calibri"/>
                <w:b/>
                <w:color w:val="B45309"/>
                <w:sz w:val="18"/>
              </w:rPr>
              <w:t>P2</w:t>
            </w:r>
          </w:p>
        </w:tc>
      </w:tr>
      <w:tr>
        <w:tc>
          <w:tcPr>
            <w:tcW w:type="dxa" w:w="907"/>
            <w:tcMar>
              <w:top w:w="60" w:type="dxa"/>
              <w:start w:w="100" w:type="dxa"/>
              <w:bottom w:w="60" w:type="dxa"/>
              <w:end w:w="100" w:type="dxa"/>
            </w:tcMar>
          </w:tcPr>
          <w:p>
            <w:r/>
            <w:r>
              <w:rPr>
                <w:rFonts w:ascii="Calibri" w:hAnsi="Calibri"/>
                <w:b w:val="0"/>
                <w:color w:val="1F2937"/>
                <w:sz w:val="18"/>
              </w:rPr>
              <w:t>B7</w:t>
            </w:r>
          </w:p>
        </w:tc>
        <w:tc>
          <w:tcPr>
            <w:tcW w:type="dxa" w:w="6236"/>
            <w:tcMar>
              <w:top w:w="60" w:type="dxa"/>
              <w:start w:w="100" w:type="dxa"/>
              <w:bottom w:w="60" w:type="dxa"/>
              <w:end w:w="100" w:type="dxa"/>
            </w:tcMar>
          </w:tcPr>
          <w:p>
            <w:r/>
            <w:r>
              <w:rPr>
                <w:rFonts w:ascii="Calibri" w:hAnsi="Calibri"/>
                <w:b w:val="0"/>
                <w:color w:val="1F2937"/>
                <w:sz w:val="18"/>
              </w:rPr>
              <w:t>Wettelijke grenswaarde 1 µg/m³</w:t>
            </w:r>
          </w:p>
        </w:tc>
        <w:tc>
          <w:tcPr>
            <w:tcW w:type="dxa" w:w="2041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F0FDF4"/>
          </w:tcPr>
          <w:p>
            <w:r/>
            <w:r>
              <w:rPr>
                <w:rFonts w:ascii="Calibri" w:hAnsi="Calibri"/>
                <w:b/>
                <w:color w:val="00A859"/>
                <w:sz w:val="18"/>
              </w:rPr>
              <w:t>Conform</w:t>
            </w:r>
          </w:p>
        </w:tc>
      </w:tr>
      <w:tr>
        <w:tc>
          <w:tcPr>
            <w:tcW w:type="dxa" w:w="907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F8F9FA"/>
          </w:tcPr>
          <w:p>
            <w:r/>
            <w:r>
              <w:rPr>
                <w:rFonts w:ascii="Calibri" w:hAnsi="Calibri"/>
                <w:b w:val="0"/>
                <w:color w:val="1F2937"/>
                <w:sz w:val="18"/>
              </w:rPr>
              <w:t>B8</w:t>
            </w:r>
          </w:p>
        </w:tc>
        <w:tc>
          <w:tcPr>
            <w:tcW w:type="dxa" w:w="6236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F8F9FA"/>
          </w:tcPr>
          <w:p>
            <w:r/>
            <w:r>
              <w:rPr>
                <w:rFonts w:ascii="Calibri" w:hAnsi="Calibri"/>
                <w:b w:val="0"/>
                <w:color w:val="1F2937"/>
                <w:sz w:val="18"/>
              </w:rPr>
              <w:t>REACH Bijlage XIV (autorisatie Cr(VI))</w:t>
            </w:r>
          </w:p>
        </w:tc>
        <w:tc>
          <w:tcPr>
            <w:tcW w:type="dxa" w:w="2041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FFFBEB"/>
          </w:tcPr>
          <w:p>
            <w:r/>
            <w:r>
              <w:rPr>
                <w:rFonts w:ascii="Calibri" w:hAnsi="Calibri"/>
                <w:b/>
                <w:color w:val="B45309"/>
                <w:sz w:val="18"/>
              </w:rPr>
              <w:t>P2</w:t>
            </w:r>
          </w:p>
        </w:tc>
      </w:tr>
      <w:tr>
        <w:tc>
          <w:tcPr>
            <w:tcW w:type="dxa" w:w="907"/>
            <w:tcMar>
              <w:top w:w="60" w:type="dxa"/>
              <w:start w:w="100" w:type="dxa"/>
              <w:bottom w:w="60" w:type="dxa"/>
              <w:end w:w="100" w:type="dxa"/>
            </w:tcMar>
          </w:tcPr>
          <w:p>
            <w:r/>
            <w:r>
              <w:rPr>
                <w:rFonts w:ascii="Calibri" w:hAnsi="Calibri"/>
                <w:b w:val="0"/>
                <w:color w:val="1F2937"/>
                <w:sz w:val="18"/>
              </w:rPr>
              <w:t>B9</w:t>
            </w:r>
          </w:p>
        </w:tc>
        <w:tc>
          <w:tcPr>
            <w:tcW w:type="dxa" w:w="6236"/>
            <w:tcMar>
              <w:top w:w="60" w:type="dxa"/>
              <w:start w:w="100" w:type="dxa"/>
              <w:bottom w:w="60" w:type="dxa"/>
              <w:end w:w="100" w:type="dxa"/>
            </w:tcMar>
          </w:tcPr>
          <w:p>
            <w:r/>
            <w:r>
              <w:rPr>
                <w:rFonts w:ascii="Calibri" w:hAnsi="Calibri"/>
                <w:b w:val="0"/>
                <w:color w:val="1F2937"/>
                <w:sz w:val="18"/>
              </w:rPr>
              <w:t>Afvalstroom Cr(VI): klassering en afvoer</w:t>
            </w:r>
          </w:p>
        </w:tc>
        <w:tc>
          <w:tcPr>
            <w:tcW w:type="dxa" w:w="2041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FFFBEB"/>
          </w:tcPr>
          <w:p>
            <w:r/>
            <w:r>
              <w:rPr>
                <w:rFonts w:ascii="Calibri" w:hAnsi="Calibri"/>
                <w:b/>
                <w:color w:val="B45309"/>
                <w:sz w:val="18"/>
              </w:rPr>
              <w:t>P2</w:t>
            </w:r>
          </w:p>
        </w:tc>
      </w:tr>
      <w:tr>
        <w:tc>
          <w:tcPr>
            <w:tcW w:type="dxa" w:w="907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F8F9FA"/>
          </w:tcPr>
          <w:p>
            <w:r/>
            <w:r>
              <w:rPr>
                <w:rFonts w:ascii="Calibri" w:hAnsi="Calibri"/>
                <w:b w:val="0"/>
                <w:color w:val="1F2937"/>
                <w:sz w:val="18"/>
              </w:rPr>
              <w:t>B10</w:t>
            </w:r>
          </w:p>
        </w:tc>
        <w:tc>
          <w:tcPr>
            <w:tcW w:type="dxa" w:w="6236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F8F9FA"/>
          </w:tcPr>
          <w:p>
            <w:r/>
            <w:r>
              <w:rPr>
                <w:rFonts w:ascii="Calibri" w:hAnsi="Calibri"/>
                <w:b w:val="0"/>
                <w:color w:val="1F2937"/>
                <w:sz w:val="18"/>
              </w:rPr>
              <w:t>AI-bladen 67, 31, 18, 77 als praktijkkader</w:t>
            </w:r>
          </w:p>
        </w:tc>
        <w:tc>
          <w:tcPr>
            <w:tcW w:type="dxa" w:w="2041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FFFBEB"/>
          </w:tcPr>
          <w:p>
            <w:r/>
            <w:r>
              <w:rPr>
                <w:rFonts w:ascii="Calibri" w:hAnsi="Calibri"/>
                <w:b/>
                <w:color w:val="B45309"/>
                <w:sz w:val="18"/>
              </w:rPr>
              <w:t>P2</w:t>
            </w:r>
          </w:p>
        </w:tc>
      </w:tr>
      <w:tr>
        <w:tc>
          <w:tcPr>
            <w:tcW w:type="dxa" w:w="907"/>
            <w:tcMar>
              <w:top w:w="60" w:type="dxa"/>
              <w:start w:w="100" w:type="dxa"/>
              <w:bottom w:w="60" w:type="dxa"/>
              <w:end w:w="100" w:type="dxa"/>
            </w:tcMar>
          </w:tcPr>
          <w:p>
            <w:r/>
            <w:r>
              <w:rPr>
                <w:rFonts w:ascii="Calibri" w:hAnsi="Calibri"/>
                <w:b w:val="0"/>
                <w:color w:val="1F2937"/>
                <w:sz w:val="18"/>
              </w:rPr>
              <w:t>B11</w:t>
            </w:r>
          </w:p>
        </w:tc>
        <w:tc>
          <w:tcPr>
            <w:tcW w:type="dxa" w:w="6236"/>
            <w:tcMar>
              <w:top w:w="60" w:type="dxa"/>
              <w:start w:w="100" w:type="dxa"/>
              <w:bottom w:w="60" w:type="dxa"/>
              <w:end w:w="100" w:type="dxa"/>
            </w:tcMar>
          </w:tcPr>
          <w:p>
            <w:r/>
            <w:r>
              <w:rPr>
                <w:rFonts w:ascii="Calibri" w:hAnsi="Calibri"/>
                <w:b w:val="0"/>
                <w:color w:val="1F2937"/>
                <w:sz w:val="18"/>
              </w:rPr>
              <w:t>Beheersregime Chroom-6</w:t>
            </w:r>
          </w:p>
        </w:tc>
        <w:tc>
          <w:tcPr>
            <w:tcW w:type="dxa" w:w="2041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FFFBEB"/>
          </w:tcPr>
          <w:p>
            <w:r/>
            <w:r>
              <w:rPr>
                <w:rFonts w:ascii="Calibri" w:hAnsi="Calibri"/>
                <w:b/>
                <w:color w:val="B45309"/>
                <w:sz w:val="18"/>
              </w:rPr>
              <w:t>P2</w:t>
            </w:r>
          </w:p>
        </w:tc>
      </w:tr>
      <w:tr>
        <w:tc>
          <w:tcPr>
            <w:tcW w:type="dxa" w:w="907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F8F9FA"/>
          </w:tcPr>
          <w:p>
            <w:r/>
            <w:r>
              <w:rPr>
                <w:rFonts w:ascii="Calibri" w:hAnsi="Calibri"/>
                <w:b w:val="0"/>
                <w:color w:val="1F2937"/>
                <w:sz w:val="18"/>
              </w:rPr>
              <w:t>B12</w:t>
            </w:r>
          </w:p>
        </w:tc>
        <w:tc>
          <w:tcPr>
            <w:tcW w:type="dxa" w:w="6236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F8F9FA"/>
          </w:tcPr>
          <w:p>
            <w:r/>
            <w:r>
              <w:rPr>
                <w:rFonts w:ascii="Calibri" w:hAnsi="Calibri"/>
                <w:b w:val="0"/>
                <w:color w:val="1F2937"/>
                <w:sz w:val="18"/>
              </w:rPr>
              <w:t>5M-methode / hiërarchie incl. substitutie</w:t>
            </w:r>
          </w:p>
        </w:tc>
        <w:tc>
          <w:tcPr>
            <w:tcW w:type="dxa" w:w="2041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FFFBEB"/>
          </w:tcPr>
          <w:p>
            <w:r/>
            <w:r>
              <w:rPr>
                <w:rFonts w:ascii="Calibri" w:hAnsi="Calibri"/>
                <w:b/>
                <w:color w:val="B45309"/>
                <w:sz w:val="18"/>
              </w:rPr>
              <w:t>P2</w:t>
            </w:r>
          </w:p>
        </w:tc>
      </w:tr>
      <w:tr>
        <w:tc>
          <w:tcPr>
            <w:tcW w:type="dxa" w:w="907"/>
            <w:tcMar>
              <w:top w:w="60" w:type="dxa"/>
              <w:start w:w="100" w:type="dxa"/>
              <w:bottom w:w="60" w:type="dxa"/>
              <w:end w:w="100" w:type="dxa"/>
            </w:tcMar>
          </w:tcPr>
          <w:p>
            <w:r/>
            <w:r>
              <w:rPr>
                <w:rFonts w:ascii="Calibri" w:hAnsi="Calibri"/>
                <w:b w:val="0"/>
                <w:color w:val="1F2937"/>
                <w:sz w:val="18"/>
              </w:rPr>
              <w:t>B13</w:t>
            </w:r>
          </w:p>
        </w:tc>
        <w:tc>
          <w:tcPr>
            <w:tcW w:type="dxa" w:w="6236"/>
            <w:tcMar>
              <w:top w:w="60" w:type="dxa"/>
              <w:start w:w="100" w:type="dxa"/>
              <w:bottom w:w="60" w:type="dxa"/>
              <w:end w:w="100" w:type="dxa"/>
            </w:tcMar>
          </w:tcPr>
          <w:p>
            <w:r/>
            <w:r>
              <w:rPr>
                <w:rFonts w:ascii="Calibri" w:hAnsi="Calibri"/>
                <w:b w:val="0"/>
                <w:color w:val="1F2937"/>
                <w:sz w:val="18"/>
              </w:rPr>
              <w:t>NEN-EN 689/482-normverwijzing in referentielijst</w:t>
            </w:r>
          </w:p>
        </w:tc>
        <w:tc>
          <w:tcPr>
            <w:tcW w:type="dxa" w:w="2041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FEF2F2"/>
          </w:tcPr>
          <w:p>
            <w:r/>
            <w:r>
              <w:rPr>
                <w:rFonts w:ascii="Calibri" w:hAnsi="Calibri"/>
                <w:b/>
                <w:color w:val="EF4444"/>
                <w:sz w:val="18"/>
              </w:rPr>
              <w:t>P1*</w:t>
            </w:r>
          </w:p>
        </w:tc>
      </w:tr>
      <w:tr>
        <w:tc>
          <w:tcPr>
            <w:tcW w:type="dxa" w:w="907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F8F9FA"/>
          </w:tcPr>
          <w:p>
            <w:r/>
            <w:r>
              <w:rPr>
                <w:rFonts w:ascii="Calibri" w:hAnsi="Calibri"/>
                <w:b w:val="0"/>
                <w:color w:val="1F2937"/>
                <w:sz w:val="18"/>
              </w:rPr>
              <w:t>B14</w:t>
            </w:r>
          </w:p>
        </w:tc>
        <w:tc>
          <w:tcPr>
            <w:tcW w:type="dxa" w:w="6236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F8F9FA"/>
          </w:tcPr>
          <w:p>
            <w:r/>
            <w:r>
              <w:rPr>
                <w:rFonts w:ascii="Calibri" w:hAnsi="Calibri"/>
                <w:b w:val="0"/>
                <w:color w:val="1F2937"/>
                <w:sz w:val="18"/>
              </w:rPr>
              <w:t>Documentbeheer / versieconsistentie</w:t>
            </w:r>
          </w:p>
        </w:tc>
        <w:tc>
          <w:tcPr>
            <w:tcW w:type="dxa" w:w="2041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FFFBEB"/>
          </w:tcPr>
          <w:p>
            <w:r/>
            <w:r>
              <w:rPr>
                <w:rFonts w:ascii="Calibri" w:hAnsi="Calibri"/>
                <w:b/>
                <w:color w:val="B45309"/>
                <w:sz w:val="18"/>
              </w:rPr>
              <w:t>P2</w:t>
            </w:r>
          </w:p>
        </w:tc>
      </w:tr>
      <w:tr>
        <w:tc>
          <w:tcPr>
            <w:tcW w:type="dxa" w:w="907"/>
            <w:tcMar>
              <w:top w:w="60" w:type="dxa"/>
              <w:start w:w="100" w:type="dxa"/>
              <w:bottom w:w="60" w:type="dxa"/>
              <w:end w:w="100" w:type="dxa"/>
            </w:tcMar>
          </w:tcPr>
          <w:p>
            <w:r/>
            <w:r>
              <w:rPr>
                <w:rFonts w:ascii="Calibri" w:hAnsi="Calibri"/>
                <w:b w:val="0"/>
                <w:color w:val="1F2937"/>
                <w:sz w:val="18"/>
              </w:rPr>
              <w:t>B15</w:t>
            </w:r>
          </w:p>
        </w:tc>
        <w:tc>
          <w:tcPr>
            <w:tcW w:type="dxa" w:w="6236"/>
            <w:tcMar>
              <w:top w:w="60" w:type="dxa"/>
              <w:start w:w="100" w:type="dxa"/>
              <w:bottom w:w="60" w:type="dxa"/>
              <w:end w:w="100" w:type="dxa"/>
            </w:tcMar>
          </w:tcPr>
          <w:p>
            <w:r/>
            <w:r>
              <w:rPr>
                <w:rFonts w:ascii="Calibri" w:hAnsi="Calibri"/>
                <w:b w:val="0"/>
                <w:color w:val="1F2937"/>
                <w:sz w:val="18"/>
              </w:rPr>
              <w:t>Gevareninformatie &amp; gezondheidseffecten</w:t>
            </w:r>
          </w:p>
        </w:tc>
        <w:tc>
          <w:tcPr>
            <w:tcW w:type="dxa" w:w="2041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F0FDF4"/>
          </w:tcPr>
          <w:p>
            <w:r/>
            <w:r>
              <w:rPr>
                <w:rFonts w:ascii="Calibri" w:hAnsi="Calibri"/>
                <w:b/>
                <w:color w:val="00A859"/>
                <w:sz w:val="18"/>
              </w:rPr>
              <w:t>Conform</w:t>
            </w:r>
          </w:p>
        </w:tc>
      </w:tr>
      <w:tr>
        <w:tc>
          <w:tcPr>
            <w:tcW w:type="dxa" w:w="907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F8F9FA"/>
          </w:tcPr>
          <w:p>
            <w:r/>
            <w:r>
              <w:rPr>
                <w:rFonts w:ascii="Calibri" w:hAnsi="Calibri"/>
                <w:b w:val="0"/>
                <w:color w:val="1F2937"/>
                <w:sz w:val="18"/>
              </w:rPr>
              <w:t>B16</w:t>
            </w:r>
          </w:p>
        </w:tc>
        <w:tc>
          <w:tcPr>
            <w:tcW w:type="dxa" w:w="6236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F8F9FA"/>
          </w:tcPr>
          <w:p>
            <w:r/>
            <w:r>
              <w:rPr>
                <w:rFonts w:ascii="Calibri" w:hAnsi="Calibri"/>
                <w:b w:val="0"/>
                <w:color w:val="1F2937"/>
                <w:sz w:val="18"/>
              </w:rPr>
              <w:t>Identificatie, marking, surveys, PTW/TRA-koppeling</w:t>
            </w:r>
          </w:p>
        </w:tc>
        <w:tc>
          <w:tcPr>
            <w:tcW w:type="dxa" w:w="2041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F0FDF4"/>
          </w:tcPr>
          <w:p>
            <w:r/>
            <w:r>
              <w:rPr>
                <w:rFonts w:ascii="Calibri" w:hAnsi="Calibri"/>
                <w:b/>
                <w:color w:val="00A859"/>
                <w:sz w:val="18"/>
              </w:rPr>
              <w:t>Conform</w:t>
            </w:r>
          </w:p>
        </w:tc>
      </w:tr>
      <w:tr>
        <w:tc>
          <w:tcPr>
            <w:tcW w:type="dxa" w:w="907"/>
            <w:tcMar>
              <w:top w:w="60" w:type="dxa"/>
              <w:start w:w="100" w:type="dxa"/>
              <w:bottom w:w="60" w:type="dxa"/>
              <w:end w:w="100" w:type="dxa"/>
            </w:tcMar>
          </w:tcPr>
          <w:p>
            <w:r/>
            <w:r>
              <w:rPr>
                <w:rFonts w:ascii="Calibri" w:hAnsi="Calibri"/>
                <w:b w:val="0"/>
                <w:color w:val="1F2937"/>
                <w:sz w:val="18"/>
              </w:rPr>
              <w:t>B17</w:t>
            </w:r>
          </w:p>
        </w:tc>
        <w:tc>
          <w:tcPr>
            <w:tcW w:type="dxa" w:w="6236"/>
            <w:tcMar>
              <w:top w:w="60" w:type="dxa"/>
              <w:start w:w="100" w:type="dxa"/>
              <w:bottom w:w="60" w:type="dxa"/>
              <w:end w:w="100" w:type="dxa"/>
            </w:tcMar>
          </w:tcPr>
          <w:p>
            <w:r/>
            <w:r>
              <w:rPr>
                <w:rFonts w:ascii="Calibri" w:hAnsi="Calibri"/>
                <w:b w:val="0"/>
                <w:color w:val="1F2937"/>
                <w:sz w:val="18"/>
              </w:rPr>
              <w:t>Hygiëne, decontaminatie, PBM-regime (P3, volgelaatsmasker)</w:t>
            </w:r>
          </w:p>
        </w:tc>
        <w:tc>
          <w:tcPr>
            <w:tcW w:type="dxa" w:w="2041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F0FDF4"/>
          </w:tcPr>
          <w:p>
            <w:r/>
            <w:r>
              <w:rPr>
                <w:rFonts w:ascii="Calibri" w:hAnsi="Calibri"/>
                <w:b/>
                <w:color w:val="00A859"/>
                <w:sz w:val="18"/>
              </w:rPr>
              <w:t>Conform</w:t>
            </w:r>
          </w:p>
        </w:tc>
      </w:tr>
      <w:tr>
        <w:tc>
          <w:tcPr>
            <w:tcW w:type="dxa" w:w="907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F8F9FA"/>
          </w:tcPr>
          <w:p>
            <w:r/>
            <w:r>
              <w:rPr>
                <w:rFonts w:ascii="Calibri" w:hAnsi="Calibri"/>
                <w:b w:val="0"/>
                <w:color w:val="1F2937"/>
                <w:sz w:val="18"/>
              </w:rPr>
              <w:t>B18</w:t>
            </w:r>
          </w:p>
        </w:tc>
        <w:tc>
          <w:tcPr>
            <w:tcW w:type="dxa" w:w="6236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F8F9FA"/>
          </w:tcPr>
          <w:p>
            <w:r/>
            <w:r>
              <w:rPr>
                <w:rFonts w:ascii="Calibri" w:hAnsi="Calibri"/>
                <w:b w:val="0"/>
                <w:color w:val="1F2937"/>
                <w:sz w:val="18"/>
              </w:rPr>
              <w:t>Rollen &amp; verantwoordelijkheden</w:t>
            </w:r>
          </w:p>
        </w:tc>
        <w:tc>
          <w:tcPr>
            <w:tcW w:type="dxa" w:w="2041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F0FDF4"/>
          </w:tcPr>
          <w:p>
            <w:r/>
            <w:r>
              <w:rPr>
                <w:rFonts w:ascii="Calibri" w:hAnsi="Calibri"/>
                <w:b/>
                <w:color w:val="00A859"/>
                <w:sz w:val="18"/>
              </w:rPr>
              <w:t>Conform</w:t>
            </w:r>
          </w:p>
        </w:tc>
      </w:tr>
    </w:tbl>
    <w:p>
      <w:pPr>
        <w:spacing w:before="200" w:after="80"/>
      </w:pPr>
      <w:r>
        <w:rPr>
          <w:rFonts w:ascii="Calibri" w:hAnsi="Calibri"/>
          <w:b/>
          <w:color w:val="003366"/>
          <w:sz w:val="23"/>
        </w:rPr>
        <w:t>4.2 Detailtoetsing per bevinding</w:t>
      </w:r>
    </w:p>
    <w:p>
      <w:pPr>
        <w:spacing w:before="200" w:after="80"/>
      </w:pPr>
      <w:r>
        <w:rPr>
          <w:rFonts w:ascii="Calibri" w:hAnsi="Calibri"/>
          <w:b/>
          <w:color w:val="003366"/>
          <w:sz w:val="23"/>
        </w:rPr>
        <w:t>B1 — Meetstrategie en toetsing grenswaarde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shd w:val="clear" w:color="auto" w:fill="FEF2F2"/>
            <w:tcMar>
              <w:top w:w="60" w:type="dxa"/>
              <w:start w:w="120" w:type="dxa"/>
              <w:bottom w:w="60" w:type="dxa"/>
              <w:end w:w="120" w:type="dxa"/>
            </w:tcMar>
          </w:tcPr>
          <w:p>
            <w:r/>
            <w:r>
              <w:rPr>
                <w:rFonts w:ascii="Calibri" w:hAnsi="Calibri"/>
                <w:b/>
                <w:color w:val="EF4444"/>
                <w:sz w:val="19"/>
              </w:rPr>
              <w:t>Classificatie: P1</w:t>
            </w:r>
          </w:p>
        </w:tc>
      </w:tr>
    </w:tbl>
    <w:p>
      <w:pPr>
        <w:spacing w:after="40"/>
      </w:pPr>
    </w:p>
    <w:p>
      <w:r>
        <w:rPr>
          <w:rFonts w:ascii="Calibri" w:hAnsi="Calibri"/>
          <w:b/>
          <w:color w:val="1F2937"/>
          <w:sz w:val="20"/>
        </w:rPr>
        <w:t xml:space="preserve">Toetsingskader: </w:t>
      </w:r>
      <w:r>
        <w:rPr>
          <w:rFonts w:ascii="Calibri" w:hAnsi="Calibri"/>
          <w:i w:val="0"/>
          <w:color w:val="1F2937"/>
          <w:sz w:val="20"/>
        </w:rPr>
        <w:t>Arbobesluit art. 4.2 lid 4; NEN-EN 689; NEN-EN 482 [2][3][8]</w:t>
      </w:r>
    </w:p>
    <w:p>
      <w:r>
        <w:rPr>
          <w:rFonts w:ascii="Calibri" w:hAnsi="Calibri"/>
          <w:b/>
          <w:color w:val="1F2937"/>
          <w:sz w:val="20"/>
        </w:rPr>
        <w:t xml:space="preserve">Eis: </w:t>
      </w:r>
      <w:r>
        <w:rPr>
          <w:rFonts w:ascii="Calibri" w:hAnsi="Calibri"/>
          <w:i w:val="0"/>
          <w:color w:val="1F2937"/>
          <w:sz w:val="20"/>
        </w:rPr>
        <w:t>Blootstelling wordt beoordeeld en gemeten volgens een meetstrategie conform NEN-EN 689, met meetprocedures conform NEN-EN 482 en toetsing aan de wettelijke grenswaarde van 1 µg/m³ (drempelwaarde sinds 1 maart 2017) [3][8].</w:t>
      </w:r>
    </w:p>
    <w:p>
      <w:r>
        <w:rPr>
          <w:rFonts w:ascii="Calibri" w:hAnsi="Calibri"/>
          <w:b/>
          <w:color w:val="1F2937"/>
          <w:sz w:val="20"/>
        </w:rPr>
        <w:t xml:space="preserve">Bevinding: </w:t>
      </w:r>
      <w:r>
        <w:rPr>
          <w:rFonts w:ascii="Calibri" w:hAnsi="Calibri"/>
          <w:i w:val="0"/>
          <w:color w:val="1F2937"/>
          <w:sz w:val="20"/>
        </w:rPr>
        <w:t>Het brondocument noemt in §5 (Monitoring and Review) “review of exposure monitoring data” en “exposure monitoring results” als reviewtrigger. Een meetstrategie is niet gedefinieerd: geen baseline- of taakmetingen, geen meetfrequentie, geen bemonsteringsduur, geen toetskader (bijv. het NEN-EN 689-toetskader waarbij drie metingen alle &lt; 10% van de grenswaarde voldoende zekerheid bieden [3]), geen verantwoordelijke en geen koppeling van meetresultaten aan de 1 µg/m³-grenswaarde. Zonder metingen kan niet worden aangetoond dat het ALARP-doel (§1) en het P3/PBM-regime (§4.5) adequaat zijn.</w:t>
      </w:r>
    </w:p>
    <w:p>
      <w:r>
        <w:rPr>
          <w:rFonts w:ascii="Calibri" w:hAnsi="Calibri"/>
          <w:b/>
          <w:color w:val="1F2937"/>
          <w:sz w:val="20"/>
        </w:rPr>
        <w:t xml:space="preserve">Actie: </w:t>
      </w:r>
      <w:r>
        <w:rPr>
          <w:rFonts w:ascii="Calibri" w:hAnsi="Calibri"/>
          <w:i w:val="0"/>
          <w:color w:val="1F2937"/>
          <w:sz w:val="20"/>
        </w:rPr>
        <w:t>H1 — nieuw hoofdstuk “Exposure Assessment &amp; Monitoring” (NEN-EN 689/482, toetsing 1 µg/m³, verantwoordelijke QHSE Manager)</w:t>
      </w:r>
    </w:p>
    <w:p>
      <w:pPr>
        <w:spacing w:before="200" w:after="80"/>
      </w:pPr>
      <w:r>
        <w:rPr>
          <w:rFonts w:ascii="Calibri" w:hAnsi="Calibri"/>
          <w:b/>
          <w:color w:val="003366"/>
          <w:sz w:val="23"/>
        </w:rPr>
        <w:t>B2 — Arbeidsgezondheidskundig onderzoek (AGO)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shd w:val="clear" w:color="auto" w:fill="FEF2F2"/>
            <w:tcMar>
              <w:top w:w="60" w:type="dxa"/>
              <w:start w:w="120" w:type="dxa"/>
              <w:bottom w:w="60" w:type="dxa"/>
              <w:end w:w="120" w:type="dxa"/>
            </w:tcMar>
          </w:tcPr>
          <w:p>
            <w:r/>
            <w:r>
              <w:rPr>
                <w:rFonts w:ascii="Calibri" w:hAnsi="Calibri"/>
                <w:b/>
                <w:color w:val="EF4444"/>
                <w:sz w:val="19"/>
              </w:rPr>
              <w:t>Classificatie: P1</w:t>
            </w:r>
          </w:p>
        </w:tc>
      </w:tr>
    </w:tbl>
    <w:p>
      <w:pPr>
        <w:spacing w:after="40"/>
      </w:pPr>
    </w:p>
    <w:p>
      <w:r>
        <w:rPr>
          <w:rFonts w:ascii="Calibri" w:hAnsi="Calibri"/>
          <w:b/>
          <w:color w:val="1F2937"/>
          <w:sz w:val="20"/>
        </w:rPr>
        <w:t xml:space="preserve">Toetsingskader: </w:t>
      </w:r>
      <w:r>
        <w:rPr>
          <w:rFonts w:ascii="Calibri" w:hAnsi="Calibri"/>
          <w:i w:val="0"/>
          <w:color w:val="1F2937"/>
          <w:sz w:val="20"/>
        </w:rPr>
        <w:t>Arbobesluit art. 4.10a [2]</w:t>
      </w:r>
    </w:p>
    <w:p>
      <w:r>
        <w:rPr>
          <w:rFonts w:ascii="Calibri" w:hAnsi="Calibri"/>
          <w:b/>
          <w:color w:val="1F2937"/>
          <w:sz w:val="20"/>
        </w:rPr>
        <w:t xml:space="preserve">Eis: </w:t>
      </w:r>
      <w:r>
        <w:rPr>
          <w:rFonts w:ascii="Calibri" w:hAnsi="Calibri"/>
          <w:i w:val="0"/>
          <w:color w:val="1F2937"/>
          <w:sz w:val="20"/>
        </w:rPr>
        <w:t>Werknemers die (mogelijk) worden blootgesteld aan kankerverwekkende stoffen hebben recht op arbeidsgezondheidskundig onderzoek, bij voorkeur vóór aanvang van de blootstellingswerkzaamheden en periodiek daarna.</w:t>
      </w:r>
    </w:p>
    <w:p>
      <w:r>
        <w:rPr>
          <w:rFonts w:ascii="Calibri" w:hAnsi="Calibri"/>
          <w:b/>
          <w:color w:val="1F2937"/>
          <w:sz w:val="20"/>
        </w:rPr>
        <w:t xml:space="preserve">Bevinding: </w:t>
      </w:r>
      <w:r>
        <w:rPr>
          <w:rFonts w:ascii="Calibri" w:hAnsi="Calibri"/>
          <w:i w:val="0"/>
          <w:color w:val="1F2937"/>
          <w:sz w:val="20"/>
        </w:rPr>
        <w:t>Het brondocument bevat nergens een verwijzing naar (P)AGO, bedrijfsarts, medische keuring of gezondheidssurveillance. De rollenbeschrijving in §3 bevat geen arbodienst-/bedrijfsartsrol.</w:t>
      </w:r>
    </w:p>
    <w:p>
      <w:r>
        <w:rPr>
          <w:rFonts w:ascii="Calibri" w:hAnsi="Calibri"/>
          <w:b/>
          <w:color w:val="1F2937"/>
          <w:sz w:val="20"/>
        </w:rPr>
        <w:t xml:space="preserve">Actie: </w:t>
      </w:r>
      <w:r>
        <w:rPr>
          <w:rFonts w:ascii="Calibri" w:hAnsi="Calibri"/>
          <w:i w:val="0"/>
          <w:color w:val="1F2937"/>
          <w:sz w:val="20"/>
        </w:rPr>
        <w:t>H2 — paragraaf “Health Surveillance” + rol bedrijfsarts in §3</w:t>
      </w:r>
    </w:p>
    <w:p>
      <w:pPr>
        <w:spacing w:before="200" w:after="80"/>
      </w:pPr>
      <w:r>
        <w:rPr>
          <w:rFonts w:ascii="Calibri" w:hAnsi="Calibri"/>
          <w:b/>
          <w:color w:val="003366"/>
          <w:sz w:val="23"/>
        </w:rPr>
        <w:t>B3 — Bewaartermijn blootstellingsgegevens (40 jaar)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shd w:val="clear" w:color="auto" w:fill="FEF2F2"/>
            <w:tcMar>
              <w:top w:w="60" w:type="dxa"/>
              <w:start w:w="120" w:type="dxa"/>
              <w:bottom w:w="60" w:type="dxa"/>
              <w:end w:w="120" w:type="dxa"/>
            </w:tcMar>
          </w:tcPr>
          <w:p>
            <w:r/>
            <w:r>
              <w:rPr>
                <w:rFonts w:ascii="Calibri" w:hAnsi="Calibri"/>
                <w:b/>
                <w:color w:val="EF4444"/>
                <w:sz w:val="19"/>
              </w:rPr>
              <w:t>Classificatie: P1</w:t>
            </w:r>
          </w:p>
        </w:tc>
      </w:tr>
    </w:tbl>
    <w:p>
      <w:pPr>
        <w:spacing w:after="40"/>
      </w:pPr>
    </w:p>
    <w:p>
      <w:r>
        <w:rPr>
          <w:rFonts w:ascii="Calibri" w:hAnsi="Calibri"/>
          <w:b/>
          <w:color w:val="1F2937"/>
          <w:sz w:val="20"/>
        </w:rPr>
        <w:t xml:space="preserve">Toetsingskader: </w:t>
      </w:r>
      <w:r>
        <w:rPr>
          <w:rFonts w:ascii="Calibri" w:hAnsi="Calibri"/>
          <w:i w:val="0"/>
          <w:color w:val="1F2937"/>
          <w:sz w:val="20"/>
        </w:rPr>
        <w:t>Arbobesluit art. 4.10c [2][3]</w:t>
      </w:r>
    </w:p>
    <w:p>
      <w:r>
        <w:rPr>
          <w:rFonts w:ascii="Calibri" w:hAnsi="Calibri"/>
          <w:b/>
          <w:color w:val="1F2937"/>
          <w:sz w:val="20"/>
        </w:rPr>
        <w:t xml:space="preserve">Eis: </w:t>
      </w:r>
      <w:r>
        <w:rPr>
          <w:rFonts w:ascii="Calibri" w:hAnsi="Calibri"/>
          <w:i w:val="0"/>
          <w:color w:val="1F2937"/>
          <w:sz w:val="20"/>
        </w:rPr>
        <w:t>Gegevens over blootstelling en meetresultaten worden gedurende 40 jaar na beëindiging van de blootstelling bewaard en beschikbaar gehouden [3].</w:t>
      </w:r>
    </w:p>
    <w:p>
      <w:r>
        <w:rPr>
          <w:rFonts w:ascii="Calibri" w:hAnsi="Calibri"/>
          <w:b/>
          <w:color w:val="1F2937"/>
          <w:sz w:val="20"/>
        </w:rPr>
        <w:t xml:space="preserve">Bevinding: </w:t>
      </w:r>
      <w:r>
        <w:rPr>
          <w:rFonts w:ascii="Calibri" w:hAnsi="Calibri"/>
          <w:i w:val="0"/>
          <w:color w:val="1F2937"/>
          <w:sz w:val="20"/>
        </w:rPr>
        <w:t>Geen enkele bepaling over registratie-, bewaar- of overdrachtplicht van blootstellings- en meetgegevens. Voor een tijdelijk decommissioningproject is bovendien een overdrachtsregeling naar het KOO-dossier noodzakelijk.</w:t>
      </w:r>
    </w:p>
    <w:p>
      <w:r>
        <w:rPr>
          <w:rFonts w:ascii="Calibri" w:hAnsi="Calibri"/>
          <w:b/>
          <w:color w:val="1F2937"/>
          <w:sz w:val="20"/>
        </w:rPr>
        <w:t xml:space="preserve">Actie: </w:t>
      </w:r>
      <w:r>
        <w:rPr>
          <w:rFonts w:ascii="Calibri" w:hAnsi="Calibri"/>
          <w:i w:val="0"/>
          <w:color w:val="1F2937"/>
          <w:sz w:val="20"/>
        </w:rPr>
        <w:t>H3 — bewaar- en overdrachtsregeling (ook na projecteinde)</w:t>
      </w:r>
    </w:p>
    <w:p>
      <w:pPr>
        <w:spacing w:before="200" w:after="80"/>
      </w:pPr>
      <w:r>
        <w:rPr>
          <w:rFonts w:ascii="Calibri" w:hAnsi="Calibri"/>
          <w:b/>
          <w:color w:val="003366"/>
          <w:sz w:val="23"/>
        </w:rPr>
        <w:t>B4 — RI&amp;E incl. tox-elementen en vervangingsonderbouwing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shd w:val="clear" w:color="auto" w:fill="FEF2F2"/>
            <w:tcMar>
              <w:top w:w="60" w:type="dxa"/>
              <w:start w:w="120" w:type="dxa"/>
              <w:bottom w:w="60" w:type="dxa"/>
              <w:end w:w="120" w:type="dxa"/>
            </w:tcMar>
          </w:tcPr>
          <w:p>
            <w:r/>
            <w:r>
              <w:rPr>
                <w:rFonts w:ascii="Calibri" w:hAnsi="Calibri"/>
                <w:b/>
                <w:color w:val="EF4444"/>
                <w:sz w:val="19"/>
              </w:rPr>
              <w:t>Classificatie: P1</w:t>
            </w:r>
          </w:p>
        </w:tc>
      </w:tr>
    </w:tbl>
    <w:p>
      <w:pPr>
        <w:spacing w:after="40"/>
      </w:pPr>
    </w:p>
    <w:p>
      <w:r>
        <w:rPr>
          <w:rFonts w:ascii="Calibri" w:hAnsi="Calibri"/>
          <w:b/>
          <w:color w:val="1F2937"/>
          <w:sz w:val="20"/>
        </w:rPr>
        <w:t xml:space="preserve">Toetsingskader: </w:t>
      </w:r>
      <w:r>
        <w:rPr>
          <w:rFonts w:ascii="Calibri" w:hAnsi="Calibri"/>
          <w:i w:val="0"/>
          <w:color w:val="1F2937"/>
          <w:sz w:val="20"/>
        </w:rPr>
        <w:t>Arbobesluit art. 4.13 i.c.m. art. 4.2 lid 1 [2][3]</w:t>
      </w:r>
    </w:p>
    <w:p>
      <w:r>
        <w:rPr>
          <w:rFonts w:ascii="Calibri" w:hAnsi="Calibri"/>
          <w:b/>
          <w:color w:val="1F2937"/>
          <w:sz w:val="20"/>
        </w:rPr>
        <w:t xml:space="preserve">Eis: </w:t>
      </w:r>
      <w:r>
        <w:rPr>
          <w:rFonts w:ascii="Calibri" w:hAnsi="Calibri"/>
          <w:i w:val="0"/>
          <w:color w:val="1F2937"/>
          <w:sz w:val="20"/>
        </w:rPr>
        <w:t>De werkgever documenteert in de RI&amp;E o.a. aard, mate en duur van de blootstelling, de genomen maatregelen en de gevallen waarin kankerverwekkende stoffen worden vervangen dan wel waarom vervanging (nog) niet mogelijk is; voor chroom-6 is vervangen de belangrijkste inspanningsverplichting [3].</w:t>
      </w:r>
    </w:p>
    <w:p>
      <w:r>
        <w:rPr>
          <w:rFonts w:ascii="Calibri" w:hAnsi="Calibri"/>
          <w:b/>
          <w:color w:val="1F2937"/>
          <w:sz w:val="20"/>
        </w:rPr>
        <w:t xml:space="preserve">Bevinding: </w:t>
      </w:r>
      <w:r>
        <w:rPr>
          <w:rFonts w:ascii="Calibri" w:hAnsi="Calibri"/>
          <w:i w:val="0"/>
          <w:color w:val="1F2937"/>
          <w:sz w:val="20"/>
        </w:rPr>
        <w:t>§4.4 verplicht dat risico’s worden “addressed in the relevant TRA/JSA and Permit to Work”. Een TRA/JSA is taakgebonden en vult de RI&amp;E-registratieplicht (aard/mate/duur, hoeveelheden, aantal blootgestelde werknemers, arbeidsvorm) niet in. Een vervangings-/bronmaatregelafweging (bijv. koude versus thermische snijtechniek) ontbreekt als verplichte documentatiestap — terwijl §5 alternatieven voor perslucht en vacuumsystemen wél overweegt.</w:t>
      </w:r>
    </w:p>
    <w:p>
      <w:r>
        <w:rPr>
          <w:rFonts w:ascii="Calibri" w:hAnsi="Calibri"/>
          <w:b/>
          <w:color w:val="1F2937"/>
          <w:sz w:val="20"/>
        </w:rPr>
        <w:t xml:space="preserve">Actie: </w:t>
      </w:r>
      <w:r>
        <w:rPr>
          <w:rFonts w:ascii="Calibri" w:hAnsi="Calibri"/>
          <w:i w:val="0"/>
          <w:color w:val="1F2937"/>
          <w:sz w:val="20"/>
        </w:rPr>
        <w:t>H5 — expliciete RI&amp;E-koppeling + gedocumenteerde vervangings-/bronmaatregelafweging</w:t>
      </w:r>
    </w:p>
    <w:p>
      <w:pPr>
        <w:spacing w:before="200" w:after="80"/>
      </w:pPr>
      <w:r>
        <w:rPr>
          <w:rFonts w:ascii="Calibri" w:hAnsi="Calibri"/>
          <w:b/>
          <w:color w:val="003366"/>
          <w:sz w:val="23"/>
        </w:rPr>
        <w:t>B5 — Lijst van blootgestelde werknemers + inzagerecht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shd w:val="clear" w:color="auto" w:fill="FEF2F2"/>
            <w:tcMar>
              <w:top w:w="60" w:type="dxa"/>
              <w:start w:w="120" w:type="dxa"/>
              <w:bottom w:w="60" w:type="dxa"/>
              <w:end w:w="120" w:type="dxa"/>
            </w:tcMar>
          </w:tcPr>
          <w:p>
            <w:r/>
            <w:r>
              <w:rPr>
                <w:rFonts w:ascii="Calibri" w:hAnsi="Calibri"/>
                <w:b/>
                <w:color w:val="EF4444"/>
                <w:sz w:val="19"/>
              </w:rPr>
              <w:t>Classificatie: P1</w:t>
            </w:r>
          </w:p>
        </w:tc>
      </w:tr>
    </w:tbl>
    <w:p>
      <w:pPr>
        <w:spacing w:after="40"/>
      </w:pPr>
    </w:p>
    <w:p>
      <w:r>
        <w:rPr>
          <w:rFonts w:ascii="Calibri" w:hAnsi="Calibri"/>
          <w:b/>
          <w:color w:val="1F2937"/>
          <w:sz w:val="20"/>
        </w:rPr>
        <w:t xml:space="preserve">Toetsingskader: </w:t>
      </w:r>
      <w:r>
        <w:rPr>
          <w:rFonts w:ascii="Calibri" w:hAnsi="Calibri"/>
          <w:i w:val="0"/>
          <w:color w:val="1F2937"/>
          <w:sz w:val="20"/>
        </w:rPr>
        <w:t>Arbobesluit art. 4.15 [2][3]</w:t>
      </w:r>
    </w:p>
    <w:p>
      <w:r>
        <w:rPr>
          <w:rFonts w:ascii="Calibri" w:hAnsi="Calibri"/>
          <w:b/>
          <w:color w:val="1F2937"/>
          <w:sz w:val="20"/>
        </w:rPr>
        <w:t xml:space="preserve">Eis: </w:t>
      </w:r>
      <w:r>
        <w:rPr>
          <w:rFonts w:ascii="Calibri" w:hAnsi="Calibri"/>
          <w:i w:val="0"/>
          <w:color w:val="1F2937"/>
          <w:sz w:val="20"/>
        </w:rPr>
        <w:t>Een lijst wordt bijgehouden van werknemers die worden of kunnen worden blootgesteld, onder vermelding van de ondergane blootstelling; werknemers hebben inzage- en afschriftrecht [3].</w:t>
      </w:r>
    </w:p>
    <w:p>
      <w:r>
        <w:rPr>
          <w:rFonts w:ascii="Calibri" w:hAnsi="Calibri"/>
          <w:b/>
          <w:color w:val="1F2937"/>
          <w:sz w:val="20"/>
        </w:rPr>
        <w:t xml:space="preserve">Bevinding: </w:t>
      </w:r>
      <w:r>
        <w:rPr>
          <w:rFonts w:ascii="Calibri" w:hAnsi="Calibri"/>
          <w:i w:val="0"/>
          <w:color w:val="1F2937"/>
          <w:sz w:val="20"/>
        </w:rPr>
        <w:t>Volledig afwezig. Geen registratieplicht voor blootgesteld personeel (eigen personeel én subcontractors — §3 verplicht contractors tot naleving, zodat de lijstplicht doorloopt in de keten) en geen inzagerechtregeling.</w:t>
      </w:r>
    </w:p>
    <w:p>
      <w:r>
        <w:rPr>
          <w:rFonts w:ascii="Calibri" w:hAnsi="Calibri"/>
          <w:b/>
          <w:color w:val="1F2937"/>
          <w:sz w:val="20"/>
        </w:rPr>
        <w:t xml:space="preserve">Actie: </w:t>
      </w:r>
      <w:r>
        <w:rPr>
          <w:rFonts w:ascii="Calibri" w:hAnsi="Calibri"/>
          <w:i w:val="0"/>
          <w:color w:val="1F2937"/>
          <w:sz w:val="20"/>
        </w:rPr>
        <w:t>H4 — registratieparagraaf “Exposure Register” incl. subcontractors en inzage-/afschriftrecht</w:t>
      </w:r>
    </w:p>
    <w:p>
      <w:pPr>
        <w:spacing w:before="200" w:after="80"/>
      </w:pPr>
      <w:r>
        <w:rPr>
          <w:rFonts w:ascii="Calibri" w:hAnsi="Calibri"/>
          <w:b/>
          <w:color w:val="003366"/>
          <w:sz w:val="23"/>
        </w:rPr>
        <w:t>B6 — Abnormale blootstelling: melding + OR/PVT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shd w:val="clear" w:color="auto" w:fill="FFFBEB"/>
            <w:tcMar>
              <w:top w:w="60" w:type="dxa"/>
              <w:start w:w="120" w:type="dxa"/>
              <w:bottom w:w="60" w:type="dxa"/>
              <w:end w:w="120" w:type="dxa"/>
            </w:tcMar>
          </w:tcPr>
          <w:p>
            <w:r/>
            <w:r>
              <w:rPr>
                <w:rFonts w:ascii="Calibri" w:hAnsi="Calibri"/>
                <w:b/>
                <w:color w:val="B45309"/>
                <w:sz w:val="19"/>
              </w:rPr>
              <w:t>Classificatie: P2</w:t>
            </w:r>
          </w:p>
        </w:tc>
      </w:tr>
    </w:tbl>
    <w:p>
      <w:pPr>
        <w:spacing w:after="40"/>
      </w:pPr>
    </w:p>
    <w:p>
      <w:r>
        <w:rPr>
          <w:rFonts w:ascii="Calibri" w:hAnsi="Calibri"/>
          <w:b/>
          <w:color w:val="1F2937"/>
          <w:sz w:val="20"/>
        </w:rPr>
        <w:t xml:space="preserve">Toetsingskader: </w:t>
      </w:r>
      <w:r>
        <w:rPr>
          <w:rFonts w:ascii="Calibri" w:hAnsi="Calibri"/>
          <w:i w:val="0"/>
          <w:color w:val="1F2937"/>
          <w:sz w:val="20"/>
        </w:rPr>
        <w:t>Arbobesluit art. 4.21 [2]</w:t>
      </w:r>
    </w:p>
    <w:p>
      <w:r>
        <w:rPr>
          <w:rFonts w:ascii="Calibri" w:hAnsi="Calibri"/>
          <w:b/>
          <w:color w:val="1F2937"/>
          <w:sz w:val="20"/>
        </w:rPr>
        <w:t xml:space="preserve">Eis: </w:t>
      </w:r>
      <w:r>
        <w:rPr>
          <w:rFonts w:ascii="Calibri" w:hAnsi="Calibri"/>
          <w:i w:val="0"/>
          <w:color w:val="1F2937"/>
          <w:sz w:val="20"/>
        </w:rPr>
        <w:t>Bij abnormale blootstelling (o.a. overschrijding van de grenswaarde, incidenten) worden werknemers onmiddellijk geïnformeerd, maatregelen genomen en de OR/PVT ingeschakeld.</w:t>
      </w:r>
    </w:p>
    <w:p>
      <w:r>
        <w:rPr>
          <w:rFonts w:ascii="Calibri" w:hAnsi="Calibri"/>
          <w:b/>
          <w:color w:val="1F2937"/>
          <w:sz w:val="20"/>
        </w:rPr>
        <w:t xml:space="preserve">Bevinding: </w:t>
      </w:r>
      <w:r>
        <w:rPr>
          <w:rFonts w:ascii="Calibri" w:hAnsi="Calibri"/>
          <w:i w:val="0"/>
          <w:color w:val="1F2937"/>
          <w:sz w:val="20"/>
        </w:rPr>
        <w:t>§4.3.3 en §4.5.2 bevatten een goede meldplicht aan de leidinggevende (“stop work and inform supervision”). Het formele kanaal naar OR/PVT (of het offshore PVT-equivalent) en de diagnose-/onderzoeksstap na (mogelijke) overschrijding ontbreken.</w:t>
      </w:r>
    </w:p>
    <w:p>
      <w:r>
        <w:rPr>
          <w:rFonts w:ascii="Calibri" w:hAnsi="Calibri"/>
          <w:b/>
          <w:color w:val="1F2937"/>
          <w:sz w:val="20"/>
        </w:rPr>
        <w:t xml:space="preserve">Actie: </w:t>
      </w:r>
      <w:r>
        <w:rPr>
          <w:rFonts w:ascii="Calibri" w:hAnsi="Calibri"/>
          <w:i w:val="0"/>
          <w:color w:val="1F2937"/>
          <w:sz w:val="20"/>
        </w:rPr>
        <w:t>H6 — calamiteitenprotocol abnormale blootstelling incl. OR/PVT-kanaal</w:t>
      </w:r>
    </w:p>
    <w:p>
      <w:pPr>
        <w:spacing w:before="200" w:after="80"/>
      </w:pPr>
      <w:r>
        <w:rPr>
          <w:rFonts w:ascii="Calibri" w:hAnsi="Calibri"/>
          <w:b/>
          <w:color w:val="003366"/>
          <w:sz w:val="23"/>
        </w:rPr>
        <w:t>B7 — Wettelijke grenswaarde 1 µg/m³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shd w:val="clear" w:color="auto" w:fill="F0FDF4"/>
            <w:tcMar>
              <w:top w:w="60" w:type="dxa"/>
              <w:start w:w="120" w:type="dxa"/>
              <w:bottom w:w="60" w:type="dxa"/>
              <w:end w:w="120" w:type="dxa"/>
            </w:tcMar>
          </w:tcPr>
          <w:p>
            <w:r/>
            <w:r>
              <w:rPr>
                <w:rFonts w:ascii="Calibri" w:hAnsi="Calibri"/>
                <w:b/>
                <w:color w:val="00A859"/>
                <w:sz w:val="19"/>
              </w:rPr>
              <w:t>Classificatie: Conform</w:t>
            </w:r>
          </w:p>
        </w:tc>
      </w:tr>
    </w:tbl>
    <w:p>
      <w:pPr>
        <w:spacing w:after="40"/>
      </w:pPr>
    </w:p>
    <w:p>
      <w:r>
        <w:rPr>
          <w:rFonts w:ascii="Calibri" w:hAnsi="Calibri"/>
          <w:b/>
          <w:color w:val="1F2937"/>
          <w:sz w:val="20"/>
        </w:rPr>
        <w:t xml:space="preserve">Toetsingskader: </w:t>
      </w:r>
      <w:r>
        <w:rPr>
          <w:rFonts w:ascii="Calibri" w:hAnsi="Calibri"/>
          <w:i w:val="0"/>
          <w:color w:val="1F2937"/>
          <w:sz w:val="20"/>
        </w:rPr>
        <w:t>Arbobesluit / SER-grenswaardenlijst [2][7]</w:t>
      </w:r>
    </w:p>
    <w:p>
      <w:r>
        <w:rPr>
          <w:rFonts w:ascii="Calibri" w:hAnsi="Calibri"/>
          <w:b/>
          <w:color w:val="1F2937"/>
          <w:sz w:val="20"/>
        </w:rPr>
        <w:t xml:space="preserve">Eis: </w:t>
      </w:r>
      <w:r>
        <w:rPr>
          <w:rFonts w:ascii="Calibri" w:hAnsi="Calibri"/>
          <w:i w:val="0"/>
          <w:color w:val="1F2937"/>
          <w:sz w:val="20"/>
        </w:rPr>
        <w:t>Toepassing van de wettelijke grenswaarde voor chroom VI: 1 µg/m³ (8-uurs TGG) [7].</w:t>
      </w:r>
    </w:p>
    <w:p>
      <w:r>
        <w:rPr>
          <w:rFonts w:ascii="Calibri" w:hAnsi="Calibri"/>
          <w:b/>
          <w:color w:val="1F2937"/>
          <w:sz w:val="20"/>
        </w:rPr>
        <w:t xml:space="preserve">Bevinding: </w:t>
      </w:r>
      <w:r>
        <w:rPr>
          <w:rFonts w:ascii="Calibri" w:hAnsi="Calibri"/>
          <w:i w:val="0"/>
          <w:color w:val="1F2937"/>
          <w:sz w:val="20"/>
        </w:rPr>
        <w:t>§6 vermeldt de NL-grenswaarde 1 µg/m³, het aanvullende streefrisiconiveau 0,01 µg/m³, het beginsel “most stringent requirement shall be followed” en de Belgische OEL (0,005 mg/m³) — feitelijk juist [3]. Kanttekening: de grenswaarde wordt nergens in de procedure zelf als toetskader gebruikt (raakt B1).</w:t>
      </w:r>
    </w:p>
    <w:p>
      <w:r>
        <w:rPr>
          <w:rFonts w:ascii="Calibri" w:hAnsi="Calibri"/>
          <w:b/>
          <w:color w:val="1F2937"/>
          <w:sz w:val="20"/>
        </w:rPr>
        <w:t xml:space="preserve">Actie: </w:t>
      </w:r>
      <w:r>
        <w:rPr>
          <w:rFonts w:ascii="Calibri" w:hAnsi="Calibri"/>
          <w:i w:val="0"/>
          <w:color w:val="1F2937"/>
          <w:sz w:val="20"/>
        </w:rPr>
        <w:t>Handhaven als best practice</w:t>
      </w:r>
    </w:p>
    <w:p>
      <w:pPr>
        <w:spacing w:before="200" w:after="80"/>
      </w:pPr>
      <w:r>
        <w:rPr>
          <w:rFonts w:ascii="Calibri" w:hAnsi="Calibri"/>
          <w:b/>
          <w:color w:val="003366"/>
          <w:sz w:val="23"/>
        </w:rPr>
        <w:t>B8 — REACH Bijlage XIV (autorisatie Cr(VI))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shd w:val="clear" w:color="auto" w:fill="FFFBEB"/>
            <w:tcMar>
              <w:top w:w="60" w:type="dxa"/>
              <w:start w:w="120" w:type="dxa"/>
              <w:bottom w:w="60" w:type="dxa"/>
              <w:end w:w="120" w:type="dxa"/>
            </w:tcMar>
          </w:tcPr>
          <w:p>
            <w:r/>
            <w:r>
              <w:rPr>
                <w:rFonts w:ascii="Calibri" w:hAnsi="Calibri"/>
                <w:b/>
                <w:color w:val="B45309"/>
                <w:sz w:val="19"/>
              </w:rPr>
              <w:t>Classificatie: P2</w:t>
            </w:r>
          </w:p>
        </w:tc>
      </w:tr>
    </w:tbl>
    <w:p>
      <w:pPr>
        <w:spacing w:after="40"/>
      </w:pPr>
    </w:p>
    <w:p>
      <w:r>
        <w:rPr>
          <w:rFonts w:ascii="Calibri" w:hAnsi="Calibri"/>
          <w:b/>
          <w:color w:val="1F2937"/>
          <w:sz w:val="20"/>
        </w:rPr>
        <w:t xml:space="preserve">Toetsingskader: </w:t>
      </w:r>
      <w:r>
        <w:rPr>
          <w:rFonts w:ascii="Calibri" w:hAnsi="Calibri"/>
          <w:i w:val="0"/>
          <w:color w:val="1F2937"/>
          <w:sz w:val="20"/>
        </w:rPr>
        <w:t>REACH Verordening (EG) Nr. 1907/2006, Bijlage XIV [4]</w:t>
      </w:r>
    </w:p>
    <w:p>
      <w:r>
        <w:rPr>
          <w:rFonts w:ascii="Calibri" w:hAnsi="Calibri"/>
          <w:b/>
          <w:color w:val="1F2937"/>
          <w:sz w:val="20"/>
        </w:rPr>
        <w:t xml:space="preserve">Eis: </w:t>
      </w:r>
      <w:r>
        <w:rPr>
          <w:rFonts w:ascii="Calibri" w:hAnsi="Calibri"/>
          <w:i w:val="0"/>
          <w:color w:val="1F2937"/>
          <w:sz w:val="20"/>
        </w:rPr>
        <w:t>Chroomtrioxide en diverse zuurchromaten/zichromaten staan op de autorisatielijst (sunset dates 2017/2019); gebruik zonder autorisatie is verboden [4].</w:t>
      </w:r>
    </w:p>
    <w:p>
      <w:r>
        <w:rPr>
          <w:rFonts w:ascii="Calibri" w:hAnsi="Calibri"/>
          <w:b/>
          <w:color w:val="1F2937"/>
          <w:sz w:val="20"/>
        </w:rPr>
        <w:t xml:space="preserve">Bevinding: </w:t>
      </w:r>
      <w:r>
        <w:rPr>
          <w:rFonts w:ascii="Calibri" w:hAnsi="Calibri"/>
          <w:i w:val="0"/>
          <w:color w:val="1F2937"/>
          <w:sz w:val="20"/>
        </w:rPr>
        <w:t>Niet in de referentielijst (§6). Voor puur verwijderingswerk is de autorisatieverplichting beperkt relevant, maar bij bijkomstig gebruik van Cr(VI)-houdende producten (bijv. touch-up primers, passiveringsmiddelen) is de autorisatie- respectievelijk vervangingscheck relevant. Minimaal verdient een toelichting in §6 plaats.</w:t>
      </w:r>
    </w:p>
    <w:p>
      <w:r>
        <w:rPr>
          <w:rFonts w:ascii="Calibri" w:hAnsi="Calibri"/>
          <w:b/>
          <w:color w:val="1F2937"/>
          <w:sz w:val="20"/>
        </w:rPr>
        <w:t xml:space="preserve">Actie: </w:t>
      </w:r>
      <w:r>
        <w:rPr>
          <w:rFonts w:ascii="Calibri" w:hAnsi="Calibri"/>
          <w:i w:val="0"/>
          <w:color w:val="1F2937"/>
          <w:sz w:val="20"/>
        </w:rPr>
        <w:t>H7 — REACH-referentie in §6 met afbakening wanneer de autorisatieplicht geldt</w:t>
      </w:r>
    </w:p>
    <w:p>
      <w:pPr>
        <w:spacing w:before="200" w:after="80"/>
      </w:pPr>
      <w:r>
        <w:rPr>
          <w:rFonts w:ascii="Calibri" w:hAnsi="Calibri"/>
          <w:b/>
          <w:color w:val="003366"/>
          <w:sz w:val="23"/>
        </w:rPr>
        <w:t>B9 — Afvalstroom Cr(VI): klassering en afvoer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shd w:val="clear" w:color="auto" w:fill="FFFBEB"/>
            <w:tcMar>
              <w:top w:w="60" w:type="dxa"/>
              <w:start w:w="120" w:type="dxa"/>
              <w:bottom w:w="60" w:type="dxa"/>
              <w:end w:w="120" w:type="dxa"/>
            </w:tcMar>
          </w:tcPr>
          <w:p>
            <w:r/>
            <w:r>
              <w:rPr>
                <w:rFonts w:ascii="Calibri" w:hAnsi="Calibri"/>
                <w:b/>
                <w:color w:val="B45309"/>
                <w:sz w:val="19"/>
              </w:rPr>
              <w:t>Classificatie: P2</w:t>
            </w:r>
          </w:p>
        </w:tc>
      </w:tr>
    </w:tbl>
    <w:p>
      <w:pPr>
        <w:spacing w:after="40"/>
      </w:pPr>
    </w:p>
    <w:p>
      <w:r>
        <w:rPr>
          <w:rFonts w:ascii="Calibri" w:hAnsi="Calibri"/>
          <w:b/>
          <w:color w:val="1F2937"/>
          <w:sz w:val="20"/>
        </w:rPr>
        <w:t xml:space="preserve">Toetsingskader: </w:t>
      </w:r>
      <w:r>
        <w:rPr>
          <w:rFonts w:ascii="Calibri" w:hAnsi="Calibri"/>
          <w:i w:val="0"/>
          <w:color w:val="1F2937"/>
          <w:sz w:val="20"/>
        </w:rPr>
        <w:t>Besluit activiteiten leefomgeving (Bal); Wet milieubeheer / Landelijk Afvalbeheerplan [5]</w:t>
      </w:r>
    </w:p>
    <w:p>
      <w:r>
        <w:rPr>
          <w:rFonts w:ascii="Calibri" w:hAnsi="Calibri"/>
          <w:b/>
          <w:color w:val="1F2937"/>
          <w:sz w:val="20"/>
        </w:rPr>
        <w:t xml:space="preserve">Eis: </w:t>
      </w:r>
      <w:r>
        <w:rPr>
          <w:rFonts w:ascii="Calibri" w:hAnsi="Calibri"/>
          <w:i w:val="0"/>
          <w:color w:val="1F2937"/>
          <w:sz w:val="20"/>
        </w:rPr>
        <w:t>Gevaarlijk afval (Cr(VI)-gecontamineerd PBM, reinigingsresten, filters) vereist afvalstroomherkenning, gescheiden inzameling en gecontroleerde afvoer/verwerking door erkende afzender-ontvangers.</w:t>
      </w:r>
    </w:p>
    <w:p>
      <w:r>
        <w:rPr>
          <w:rFonts w:ascii="Calibri" w:hAnsi="Calibri"/>
          <w:b/>
          <w:color w:val="1F2937"/>
          <w:sz w:val="20"/>
        </w:rPr>
        <w:t xml:space="preserve">Bevinding: </w:t>
      </w:r>
      <w:r>
        <w:rPr>
          <w:rFonts w:ascii="Calibri" w:hAnsi="Calibri"/>
          <w:i w:val="0"/>
          <w:color w:val="1F2937"/>
          <w:sz w:val="20"/>
        </w:rPr>
        <w:t>§4.5.1–4.5.3 verplicht disposie “as hazardous or chemical waste in accordance with applicable waste management requirements” — een juist maar generiek beginsel. Er is geen afvalstroomklassering, geen afgiftebewijsregeling, geen verpakkings-/etiketteringseis (offshore inclusief zeetransport) en geen verantwoordelijke voor afvalstroombeheer benoemd.</w:t>
      </w:r>
    </w:p>
    <w:p>
      <w:r>
        <w:rPr>
          <w:rFonts w:ascii="Calibri" w:hAnsi="Calibri"/>
          <w:b/>
          <w:color w:val="1F2937"/>
          <w:sz w:val="20"/>
        </w:rPr>
        <w:t xml:space="preserve">Actie: </w:t>
      </w:r>
      <w:r>
        <w:rPr>
          <w:rFonts w:ascii="Calibri" w:hAnsi="Calibri"/>
          <w:i w:val="0"/>
          <w:color w:val="1F2937"/>
          <w:sz w:val="20"/>
        </w:rPr>
        <w:t>H8 — uitgewerkte afvalparagraaf incl. zeetransport en bewijslast</w:t>
      </w:r>
    </w:p>
    <w:p>
      <w:pPr>
        <w:spacing w:before="200" w:after="80"/>
      </w:pPr>
      <w:r>
        <w:rPr>
          <w:rFonts w:ascii="Calibri" w:hAnsi="Calibri"/>
          <w:b/>
          <w:color w:val="003366"/>
          <w:sz w:val="23"/>
        </w:rPr>
        <w:t>B10 — AI-bladen 67, 31, 18, 77 als praktijkkader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shd w:val="clear" w:color="auto" w:fill="FFFBEB"/>
            <w:tcMar>
              <w:top w:w="60" w:type="dxa"/>
              <w:start w:w="120" w:type="dxa"/>
              <w:bottom w:w="60" w:type="dxa"/>
              <w:end w:w="120" w:type="dxa"/>
            </w:tcMar>
          </w:tcPr>
          <w:p>
            <w:r/>
            <w:r>
              <w:rPr>
                <w:rFonts w:ascii="Calibri" w:hAnsi="Calibri"/>
                <w:b/>
                <w:color w:val="B45309"/>
                <w:sz w:val="19"/>
              </w:rPr>
              <w:t>Classificatie: P2</w:t>
            </w:r>
          </w:p>
        </w:tc>
      </w:tr>
    </w:tbl>
    <w:p>
      <w:pPr>
        <w:spacing w:after="40"/>
      </w:pPr>
    </w:p>
    <w:p>
      <w:r>
        <w:rPr>
          <w:rFonts w:ascii="Calibri" w:hAnsi="Calibri"/>
          <w:b/>
          <w:color w:val="1F2937"/>
          <w:sz w:val="20"/>
        </w:rPr>
        <w:t xml:space="preserve">Toetsingskader: </w:t>
      </w:r>
      <w:r>
        <w:rPr>
          <w:rFonts w:ascii="Calibri" w:hAnsi="Calibri"/>
          <w:i w:val="0"/>
          <w:color w:val="1F2937"/>
          <w:sz w:val="20"/>
        </w:rPr>
        <w:t>Arbo-Informatiebladen SZW: 67 (kankerverwekkende stoffen), 31 (gezondheidsrisico’s gevaarlijke stoffen), 18 (PBM), 77 (chroom-6) [3][10]</w:t>
      </w:r>
    </w:p>
    <w:p>
      <w:r>
        <w:rPr>
          <w:rFonts w:ascii="Calibri" w:hAnsi="Calibri"/>
          <w:b/>
          <w:color w:val="1F2937"/>
          <w:sz w:val="20"/>
        </w:rPr>
        <w:t xml:space="preserve">Eis: </w:t>
      </w:r>
      <w:r>
        <w:rPr>
          <w:rFonts w:ascii="Calibri" w:hAnsi="Calibri"/>
          <w:i w:val="0"/>
          <w:color w:val="1F2937"/>
          <w:sz w:val="20"/>
        </w:rPr>
        <w:t>De AI-bladen vormen het implementatie- en praktijkkader voor Arbobesluit Hoofdstuk 4 Afdeling 3.</w:t>
      </w:r>
    </w:p>
    <w:p>
      <w:r>
        <w:rPr>
          <w:rFonts w:ascii="Calibri" w:hAnsi="Calibri"/>
          <w:b/>
          <w:color w:val="1F2937"/>
          <w:sz w:val="20"/>
        </w:rPr>
        <w:t xml:space="preserve">Bevinding: </w:t>
      </w:r>
      <w:r>
        <w:rPr>
          <w:rFonts w:ascii="Calibri" w:hAnsi="Calibri"/>
          <w:i w:val="0"/>
          <w:color w:val="1F2937"/>
          <w:sz w:val="20"/>
        </w:rPr>
        <w:t>Niet opgenomen in §6. De inhoud van het brondocument is grotendeels congruent met AI-77 (gezondheidseffecten, blootstellingsroutes, beheersmaatregelen), maar door de ontbrekende referenties is de afstemming niet aantoonbaar en mist de redacteur het toetsingskader voor toekomstige revisies.</w:t>
      </w:r>
    </w:p>
    <w:p>
      <w:r>
        <w:rPr>
          <w:rFonts w:ascii="Calibri" w:hAnsi="Calibri"/>
          <w:b/>
          <w:color w:val="1F2937"/>
          <w:sz w:val="20"/>
        </w:rPr>
        <w:t xml:space="preserve">Actie: </w:t>
      </w:r>
      <w:r>
        <w:rPr>
          <w:rFonts w:ascii="Calibri" w:hAnsi="Calibri"/>
          <w:i w:val="0"/>
          <w:color w:val="1F2937"/>
          <w:sz w:val="20"/>
        </w:rPr>
        <w:t>H9 — AI-bladen opnemen in §6 als toetsingskader voor revisies</w:t>
      </w:r>
    </w:p>
    <w:p>
      <w:pPr>
        <w:spacing w:before="200" w:after="80"/>
      </w:pPr>
      <w:r>
        <w:rPr>
          <w:rFonts w:ascii="Calibri" w:hAnsi="Calibri"/>
          <w:b/>
          <w:color w:val="003366"/>
          <w:sz w:val="23"/>
        </w:rPr>
        <w:t>B11 — Beheersregime Chroom-6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shd w:val="clear" w:color="auto" w:fill="FFFBEB"/>
            <w:tcMar>
              <w:top w:w="60" w:type="dxa"/>
              <w:start w:w="120" w:type="dxa"/>
              <w:bottom w:w="60" w:type="dxa"/>
              <w:end w:w="120" w:type="dxa"/>
            </w:tcMar>
          </w:tcPr>
          <w:p>
            <w:r/>
            <w:r>
              <w:rPr>
                <w:rFonts w:ascii="Calibri" w:hAnsi="Calibri"/>
                <w:b/>
                <w:color w:val="B45309"/>
                <w:sz w:val="19"/>
              </w:rPr>
              <w:t>Classificatie: P2</w:t>
            </w:r>
          </w:p>
        </w:tc>
      </w:tr>
    </w:tbl>
    <w:p>
      <w:pPr>
        <w:spacing w:after="40"/>
      </w:pPr>
    </w:p>
    <w:p>
      <w:r>
        <w:rPr>
          <w:rFonts w:ascii="Calibri" w:hAnsi="Calibri"/>
          <w:b/>
          <w:color w:val="1F2937"/>
          <w:sz w:val="20"/>
        </w:rPr>
        <w:t xml:space="preserve">Toetsingskader: </w:t>
      </w:r>
      <w:r>
        <w:rPr>
          <w:rFonts w:ascii="Calibri" w:hAnsi="Calibri"/>
          <w:i w:val="0"/>
          <w:color w:val="1F2937"/>
          <w:sz w:val="20"/>
        </w:rPr>
        <w:t>Beheersregime Chroom-6 (Rijkswaterstaat, Defensie, ProRail, Rijksvastgoedbedrijf) [6]</w:t>
      </w:r>
    </w:p>
    <w:p>
      <w:r>
        <w:rPr>
          <w:rFonts w:ascii="Calibri" w:hAnsi="Calibri"/>
          <w:b/>
          <w:color w:val="1F2937"/>
          <w:sz w:val="20"/>
        </w:rPr>
        <w:t xml:space="preserve">Eis: </w:t>
      </w:r>
      <w:r>
        <w:rPr>
          <w:rFonts w:ascii="Calibri" w:hAnsi="Calibri"/>
          <w:i w:val="0"/>
          <w:color w:val="1F2937"/>
          <w:sz w:val="20"/>
        </w:rPr>
        <w:t>Vertaling van het branchekader naar concrete, per activiteit gestandaardiseerde beheersmaatregelen.</w:t>
      </w:r>
    </w:p>
    <w:p>
      <w:r>
        <w:rPr>
          <w:rFonts w:ascii="Calibri" w:hAnsi="Calibri"/>
          <w:b/>
          <w:color w:val="1F2937"/>
          <w:sz w:val="20"/>
        </w:rPr>
        <w:t xml:space="preserve">Bevinding: </w:t>
      </w:r>
      <w:r>
        <w:rPr>
          <w:rFonts w:ascii="Calibri" w:hAnsi="Calibri"/>
          <w:i w:val="0"/>
          <w:color w:val="1F2937"/>
          <w:sz w:val="20"/>
        </w:rPr>
        <w:t>§6 noemt het “Dutch ‘Beheersregime Chroom-6’” in de referentielijst — juist en relevant. Het regime wordt echter niet operationeel vertaald: geen beheersmaatregelenmatrix, geen koppeling aan de subparagrafen 4.5.1–4.5.3.</w:t>
      </w:r>
    </w:p>
    <w:p>
      <w:r>
        <w:rPr>
          <w:rFonts w:ascii="Calibri" w:hAnsi="Calibri"/>
          <w:b/>
          <w:color w:val="1F2937"/>
          <w:sz w:val="20"/>
        </w:rPr>
        <w:t xml:space="preserve">Actie: </w:t>
      </w:r>
      <w:r>
        <w:rPr>
          <w:rFonts w:ascii="Calibri" w:hAnsi="Calibri"/>
          <w:i w:val="0"/>
          <w:color w:val="1F2937"/>
          <w:sz w:val="20"/>
        </w:rPr>
        <w:t>H10 — beheersmaatregelenmatrix per activiteit of verwijzing per subparagraaf</w:t>
      </w:r>
    </w:p>
    <w:p>
      <w:pPr>
        <w:spacing w:before="200" w:after="80"/>
      </w:pPr>
      <w:r>
        <w:rPr>
          <w:rFonts w:ascii="Calibri" w:hAnsi="Calibri"/>
          <w:b/>
          <w:color w:val="003366"/>
          <w:sz w:val="23"/>
        </w:rPr>
        <w:t>B12 — 5M-methode / hiërarchie incl. substitutie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shd w:val="clear" w:color="auto" w:fill="FFFBEB"/>
            <w:tcMar>
              <w:top w:w="60" w:type="dxa"/>
              <w:start w:w="120" w:type="dxa"/>
              <w:bottom w:w="60" w:type="dxa"/>
              <w:end w:w="120" w:type="dxa"/>
            </w:tcMar>
          </w:tcPr>
          <w:p>
            <w:r/>
            <w:r>
              <w:rPr>
                <w:rFonts w:ascii="Calibri" w:hAnsi="Calibri"/>
                <w:b/>
                <w:color w:val="B45309"/>
                <w:sz w:val="19"/>
              </w:rPr>
              <w:t>Classificatie: P2</w:t>
            </w:r>
          </w:p>
        </w:tc>
      </w:tr>
    </w:tbl>
    <w:p>
      <w:pPr>
        <w:spacing w:after="40"/>
      </w:pPr>
    </w:p>
    <w:p>
      <w:r>
        <w:rPr>
          <w:rFonts w:ascii="Calibri" w:hAnsi="Calibri"/>
          <w:b/>
          <w:color w:val="1F2937"/>
          <w:sz w:val="20"/>
        </w:rPr>
        <w:t xml:space="preserve">Toetsingskader: </w:t>
      </w:r>
      <w:r>
        <w:rPr>
          <w:rFonts w:ascii="Calibri" w:hAnsi="Calibri"/>
          <w:i w:val="0"/>
          <w:color w:val="1F2937"/>
          <w:sz w:val="20"/>
        </w:rPr>
        <w:t>Arbocatalogi (5M/MAC-methodiek); Arbobesluit art. 4.4-structuur [2][3]</w:t>
      </w:r>
    </w:p>
    <w:p>
      <w:r>
        <w:rPr>
          <w:rFonts w:ascii="Calibri" w:hAnsi="Calibri"/>
          <w:b/>
          <w:color w:val="1F2937"/>
          <w:sz w:val="20"/>
        </w:rPr>
        <w:t xml:space="preserve">Eis: </w:t>
      </w:r>
      <w:r>
        <w:rPr>
          <w:rFonts w:ascii="Calibri" w:hAnsi="Calibri"/>
          <w:i w:val="0"/>
          <w:color w:val="1F2937"/>
          <w:sz w:val="20"/>
        </w:rPr>
        <w:t>De volledige hiërarchie van beheersmaatregelen — van substitutie/bronmaatregelen tot en met PBM — wordt afgewogen en gedocumenteerd.</w:t>
      </w:r>
    </w:p>
    <w:p>
      <w:r>
        <w:rPr>
          <w:rFonts w:ascii="Calibri" w:hAnsi="Calibri"/>
          <w:b/>
          <w:color w:val="1F2937"/>
          <w:sz w:val="20"/>
        </w:rPr>
        <w:t xml:space="preserve">Bevinding: </w:t>
      </w:r>
      <w:r>
        <w:rPr>
          <w:rFonts w:ascii="Calibri" w:hAnsi="Calibri"/>
          <w:i w:val="0"/>
          <w:color w:val="1F2937"/>
          <w:sz w:val="20"/>
        </w:rPr>
        <w:t>§4.5 beschrijft expliciet een hiërarchie (minimaliseren verstoring, beperken verspreiding, toegangsbeperking, ventilatie/extractie/natte methoden, daarna pas PBM) — dit sluit aan bij de 5M/MAC-methodiek. De hoogste treden ontbreken als documentatieverplichting: substitutie-/bronmaatregelen (koude technieken, extractie) en organisatorische maatregelen (taakroulatie, blootstellingstijdbeperking) zijn niet aantoonbaar afgewogen. Voor decommissioning is substitutie van de coating geen optie — ook dat moet als onderbouwing zijn vastgelegd (zie B4).</w:t>
      </w:r>
    </w:p>
    <w:p>
      <w:r>
        <w:rPr>
          <w:rFonts w:ascii="Calibri" w:hAnsi="Calibri"/>
          <w:b/>
          <w:color w:val="1F2937"/>
          <w:sz w:val="20"/>
        </w:rPr>
        <w:t xml:space="preserve">Actie: </w:t>
      </w:r>
      <w:r>
        <w:rPr>
          <w:rFonts w:ascii="Calibri" w:hAnsi="Calibri"/>
          <w:i w:val="0"/>
          <w:color w:val="1F2937"/>
          <w:sz w:val="20"/>
        </w:rPr>
        <w:t>H11 — volledige maatregelenhiërarchie verankeren incl. verplichte documentatie van de afweging</w:t>
      </w:r>
    </w:p>
    <w:p>
      <w:pPr>
        <w:spacing w:before="200" w:after="80"/>
      </w:pPr>
      <w:r>
        <w:rPr>
          <w:rFonts w:ascii="Calibri" w:hAnsi="Calibri"/>
          <w:b/>
          <w:color w:val="003366"/>
          <w:sz w:val="23"/>
        </w:rPr>
        <w:t>B13 — NEN-EN 689/482-normverwijzing in referentielijst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shd w:val="clear" w:color="auto" w:fill="FEF2F2"/>
            <w:tcMar>
              <w:top w:w="60" w:type="dxa"/>
              <w:start w:w="120" w:type="dxa"/>
              <w:bottom w:w="60" w:type="dxa"/>
              <w:end w:w="120" w:type="dxa"/>
            </w:tcMar>
          </w:tcPr>
          <w:p>
            <w:r/>
            <w:r>
              <w:rPr>
                <w:rFonts w:ascii="Calibri" w:hAnsi="Calibri"/>
                <w:b/>
                <w:color w:val="EF4444"/>
                <w:sz w:val="19"/>
              </w:rPr>
              <w:t>Classificatie: P1*</w:t>
            </w:r>
          </w:p>
        </w:tc>
      </w:tr>
    </w:tbl>
    <w:p>
      <w:pPr>
        <w:spacing w:after="40"/>
      </w:pPr>
    </w:p>
    <w:p>
      <w:r>
        <w:rPr>
          <w:rFonts w:ascii="Calibri" w:hAnsi="Calibri"/>
          <w:b/>
          <w:color w:val="1F2937"/>
          <w:sz w:val="20"/>
        </w:rPr>
        <w:t xml:space="preserve">Toetsingskader: </w:t>
      </w:r>
      <w:r>
        <w:rPr>
          <w:rFonts w:ascii="Calibri" w:hAnsi="Calibri"/>
          <w:i w:val="0"/>
          <w:color w:val="1F2937"/>
          <w:sz w:val="20"/>
        </w:rPr>
        <w:t>NEN-EN 689; NEN-EN 482 [8]</w:t>
      </w:r>
    </w:p>
    <w:p>
      <w:r>
        <w:rPr>
          <w:rFonts w:ascii="Calibri" w:hAnsi="Calibri"/>
          <w:b/>
          <w:color w:val="1F2937"/>
          <w:sz w:val="20"/>
        </w:rPr>
        <w:t xml:space="preserve">Eis: </w:t>
      </w:r>
      <w:r>
        <w:rPr>
          <w:rFonts w:ascii="Calibri" w:hAnsi="Calibri"/>
          <w:i w:val="0"/>
          <w:color w:val="1F2937"/>
          <w:sz w:val="20"/>
        </w:rPr>
        <w:t>De toegepaste meetstrategie en -procedures zijn in de referentielijst van de procedure verankerd.</w:t>
      </w:r>
    </w:p>
    <w:p>
      <w:r>
        <w:rPr>
          <w:rFonts w:ascii="Calibri" w:hAnsi="Calibri"/>
          <w:b/>
          <w:color w:val="1F2937"/>
          <w:sz w:val="20"/>
        </w:rPr>
        <w:t xml:space="preserve">Bevinding: </w:t>
      </w:r>
      <w:r>
        <w:rPr>
          <w:rFonts w:ascii="Calibri" w:hAnsi="Calibri"/>
          <w:i w:val="0"/>
          <w:color w:val="1F2937"/>
          <w:sz w:val="20"/>
        </w:rPr>
        <w:t>Niet in de referentielijst (§6). B13 is formeel onderdeel van B1 en wordt slechts separaat genummerd omdat de normreferentie in §6 zelfstandig ontbreekt; zonder B13 telt de matrix 17 items.</w:t>
      </w:r>
    </w:p>
    <w:p>
      <w:r>
        <w:rPr>
          <w:rFonts w:ascii="Calibri" w:hAnsi="Calibri"/>
          <w:b/>
          <w:color w:val="1F2937"/>
          <w:sz w:val="20"/>
        </w:rPr>
        <w:t xml:space="preserve">Actie: </w:t>
      </w:r>
      <w:r>
        <w:rPr>
          <w:rFonts w:ascii="Calibri" w:hAnsi="Calibri"/>
          <w:i w:val="0"/>
          <w:color w:val="1F2937"/>
          <w:sz w:val="20"/>
        </w:rPr>
        <w:t>Valt onder H1; separaat benoemd omdat de normreferentie in §6 afzonderlijk ontbreekt</w:t>
      </w:r>
    </w:p>
    <w:p>
      <w:pPr>
        <w:spacing w:before="200" w:after="80"/>
      </w:pPr>
      <w:r>
        <w:rPr>
          <w:rFonts w:ascii="Calibri" w:hAnsi="Calibri"/>
          <w:b/>
          <w:color w:val="003366"/>
          <w:sz w:val="23"/>
        </w:rPr>
        <w:t>B14 — Documentbeheer / versieconsistentie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shd w:val="clear" w:color="auto" w:fill="FFFBEB"/>
            <w:tcMar>
              <w:top w:w="60" w:type="dxa"/>
              <w:start w:w="120" w:type="dxa"/>
              <w:bottom w:w="60" w:type="dxa"/>
              <w:end w:w="120" w:type="dxa"/>
            </w:tcMar>
          </w:tcPr>
          <w:p>
            <w:r/>
            <w:r>
              <w:rPr>
                <w:rFonts w:ascii="Calibri" w:hAnsi="Calibri"/>
                <w:b/>
                <w:color w:val="B45309"/>
                <w:sz w:val="19"/>
              </w:rPr>
              <w:t>Classificatie: P2</w:t>
            </w:r>
          </w:p>
        </w:tc>
      </w:tr>
    </w:tbl>
    <w:p>
      <w:pPr>
        <w:spacing w:after="40"/>
      </w:pPr>
    </w:p>
    <w:p>
      <w:r>
        <w:rPr>
          <w:rFonts w:ascii="Calibri" w:hAnsi="Calibri"/>
          <w:b/>
          <w:color w:val="1F2937"/>
          <w:sz w:val="20"/>
        </w:rPr>
        <w:t xml:space="preserve">Toetsingskader: </w:t>
      </w:r>
      <w:r>
        <w:rPr>
          <w:rFonts w:ascii="Calibri" w:hAnsi="Calibri"/>
          <w:i w:val="0"/>
          <w:color w:val="1F2937"/>
          <w:sz w:val="20"/>
        </w:rPr>
        <w:t>Kwaliteitsysteemlogica / ISO 9001-documentbeheer</w:t>
      </w:r>
    </w:p>
    <w:p>
      <w:r>
        <w:rPr>
          <w:rFonts w:ascii="Calibri" w:hAnsi="Calibri"/>
          <w:b/>
          <w:color w:val="1F2937"/>
          <w:sz w:val="20"/>
        </w:rPr>
        <w:t xml:space="preserve">Eis: </w:t>
      </w:r>
      <w:r>
        <w:rPr>
          <w:rFonts w:ascii="Calibri" w:hAnsi="Calibri"/>
          <w:i w:val="0"/>
          <w:color w:val="1F2937"/>
          <w:sz w:val="20"/>
        </w:rPr>
        <w:t>Een “Issued for Implementation”-procedure heeft een eenduidige revisiestatus, een gevulde wijzigingslog en gedateerde referenties.</w:t>
      </w:r>
    </w:p>
    <w:p>
      <w:r>
        <w:rPr>
          <w:rFonts w:ascii="Calibri" w:hAnsi="Calibri"/>
          <w:b/>
          <w:color w:val="1F2937"/>
          <w:sz w:val="20"/>
        </w:rPr>
        <w:t xml:space="preserve">Bevinding: </w:t>
      </w:r>
      <w:r>
        <w:rPr>
          <w:rFonts w:ascii="Calibri" w:hAnsi="Calibri"/>
          <w:i w:val="0"/>
          <w:color w:val="1F2937"/>
          <w:sz w:val="20"/>
        </w:rPr>
        <w:t>De coverpagina vermeldt zowel Rev A (02-03-2026, “Issued for Comments”) als Rev 1 (15-04-2026, “Issued for Implementation”); de revision log bevat uitsluitend een Rev 1-regel met lege velden voor Section en Description of Change; de voettekst vermeldt “Rev. 1 — May 2026” terwijl de issue-datum 15-04-2026 is. Daarnaast is de “Hoondert Study” (§6, Ref. [2]) als interne referentie zonder datum/versie opgenomen.</w:t>
      </w:r>
    </w:p>
    <w:p>
      <w:r>
        <w:rPr>
          <w:rFonts w:ascii="Calibri" w:hAnsi="Calibri"/>
          <w:b/>
          <w:color w:val="1F2937"/>
          <w:sz w:val="20"/>
        </w:rPr>
        <w:t xml:space="preserve">Actie: </w:t>
      </w:r>
      <w:r>
        <w:rPr>
          <w:rFonts w:ascii="Calibri" w:hAnsi="Calibri"/>
          <w:i w:val="0"/>
          <w:color w:val="1F2937"/>
          <w:sz w:val="20"/>
        </w:rPr>
        <w:t>H12 — één consistente revisieaanduiding, gevulde revision log, consistente issue-datum, datering interne referenties</w:t>
      </w:r>
    </w:p>
    <w:p>
      <w:pPr>
        <w:spacing w:before="200" w:after="80"/>
      </w:pPr>
      <w:r>
        <w:rPr>
          <w:rFonts w:ascii="Calibri" w:hAnsi="Calibri"/>
          <w:b/>
          <w:color w:val="003366"/>
          <w:sz w:val="23"/>
        </w:rPr>
        <w:t>B15 — Gevareninformatie &amp; gezondheidseffecten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shd w:val="clear" w:color="auto" w:fill="F0FDF4"/>
            <w:tcMar>
              <w:top w:w="60" w:type="dxa"/>
              <w:start w:w="120" w:type="dxa"/>
              <w:bottom w:w="60" w:type="dxa"/>
              <w:end w:w="120" w:type="dxa"/>
            </w:tcMar>
          </w:tcPr>
          <w:p>
            <w:r/>
            <w:r>
              <w:rPr>
                <w:rFonts w:ascii="Calibri" w:hAnsi="Calibri"/>
                <w:b/>
                <w:color w:val="00A859"/>
                <w:sz w:val="19"/>
              </w:rPr>
              <w:t>Classificatie: Conform</w:t>
            </w:r>
          </w:p>
        </w:tc>
      </w:tr>
    </w:tbl>
    <w:p>
      <w:pPr>
        <w:spacing w:after="40"/>
      </w:pPr>
    </w:p>
    <w:p>
      <w:r>
        <w:rPr>
          <w:rFonts w:ascii="Calibri" w:hAnsi="Calibri"/>
          <w:b/>
          <w:color w:val="1F2937"/>
          <w:sz w:val="20"/>
        </w:rPr>
        <w:t xml:space="preserve">Toetsingskader: </w:t>
      </w:r>
      <w:r>
        <w:rPr>
          <w:rFonts w:ascii="Calibri" w:hAnsi="Calibri"/>
          <w:i w:val="0"/>
          <w:color w:val="1F2937"/>
          <w:sz w:val="20"/>
        </w:rPr>
        <w:t>AI-77; CLP [3]</w:t>
      </w:r>
    </w:p>
    <w:p>
      <w:r>
        <w:rPr>
          <w:rFonts w:ascii="Calibri" w:hAnsi="Calibri"/>
          <w:b/>
          <w:color w:val="1F2937"/>
          <w:sz w:val="20"/>
        </w:rPr>
        <w:t xml:space="preserve">Eis: </w:t>
      </w:r>
      <w:r>
        <w:rPr>
          <w:rFonts w:ascii="Calibri" w:hAnsi="Calibri"/>
          <w:i w:val="0"/>
          <w:color w:val="1F2937"/>
          <w:sz w:val="20"/>
        </w:rPr>
        <w:t>Volledige en feitelijk juiste gevareninformatie over chroom-6.</w:t>
      </w:r>
    </w:p>
    <w:p>
      <w:r>
        <w:rPr>
          <w:rFonts w:ascii="Calibri" w:hAnsi="Calibri"/>
          <w:b/>
          <w:color w:val="1F2937"/>
          <w:sz w:val="20"/>
        </w:rPr>
        <w:t xml:space="preserve">Bevinding: </w:t>
      </w:r>
      <w:r>
        <w:rPr>
          <w:rFonts w:ascii="Calibri" w:hAnsi="Calibri"/>
          <w:i w:val="0"/>
          <w:color w:val="1F2937"/>
          <w:sz w:val="20"/>
        </w:rPr>
        <w:t>§4.1–4.3: stofeigenschappen, bronnen (coatings, rvs-lassen, verduurzaamd hout, cement), blootstellingsroutes en gezondheidseffecten (longkanker, neusholtekanker, neusseptumperforatie, COPD, astma, dermatitis; vermoedelijk maag- en strottenhoofdkanker) — feitelijk consistent met AI-77 [3].</w:t>
      </w:r>
    </w:p>
    <w:p>
      <w:r>
        <w:rPr>
          <w:rFonts w:ascii="Calibri" w:hAnsi="Calibri"/>
          <w:b/>
          <w:color w:val="1F2937"/>
          <w:sz w:val="20"/>
        </w:rPr>
        <w:t xml:space="preserve">Actie: </w:t>
      </w:r>
      <w:r>
        <w:rPr>
          <w:rFonts w:ascii="Calibri" w:hAnsi="Calibri"/>
          <w:i w:val="0"/>
          <w:color w:val="1F2937"/>
          <w:sz w:val="20"/>
        </w:rPr>
        <w:t>Handhaven als best practice</w:t>
      </w:r>
    </w:p>
    <w:p>
      <w:pPr>
        <w:spacing w:before="200" w:after="80"/>
      </w:pPr>
      <w:r>
        <w:rPr>
          <w:rFonts w:ascii="Calibri" w:hAnsi="Calibri"/>
          <w:b/>
          <w:color w:val="003366"/>
          <w:sz w:val="23"/>
        </w:rPr>
        <w:t>B16 — Identificatie, marking, surveys, PTW/TRA-koppeling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shd w:val="clear" w:color="auto" w:fill="F0FDF4"/>
            <w:tcMar>
              <w:top w:w="60" w:type="dxa"/>
              <w:start w:w="120" w:type="dxa"/>
              <w:bottom w:w="60" w:type="dxa"/>
              <w:end w:w="120" w:type="dxa"/>
            </w:tcMar>
          </w:tcPr>
          <w:p>
            <w:r/>
            <w:r>
              <w:rPr>
                <w:rFonts w:ascii="Calibri" w:hAnsi="Calibri"/>
                <w:b/>
                <w:color w:val="00A859"/>
                <w:sz w:val="19"/>
              </w:rPr>
              <w:t>Classificatie: Conform</w:t>
            </w:r>
          </w:p>
        </w:tc>
      </w:tr>
    </w:tbl>
    <w:p>
      <w:pPr>
        <w:spacing w:after="40"/>
      </w:pPr>
    </w:p>
    <w:p>
      <w:r>
        <w:rPr>
          <w:rFonts w:ascii="Calibri" w:hAnsi="Calibri"/>
          <w:b/>
          <w:color w:val="1F2937"/>
          <w:sz w:val="20"/>
        </w:rPr>
        <w:t xml:space="preserve">Toetsingskader: </w:t>
      </w:r>
      <w:r>
        <w:rPr>
          <w:rFonts w:ascii="Calibri" w:hAnsi="Calibri"/>
          <w:i w:val="0"/>
          <w:color w:val="1F2937"/>
          <w:sz w:val="20"/>
        </w:rPr>
        <w:t>AI-77 praktijkkader; Arbobesluit art. 4.5-structuur [2][3]</w:t>
      </w:r>
    </w:p>
    <w:p>
      <w:r>
        <w:rPr>
          <w:rFonts w:ascii="Calibri" w:hAnsi="Calibri"/>
          <w:b/>
          <w:color w:val="1F2937"/>
          <w:sz w:val="20"/>
        </w:rPr>
        <w:t xml:space="preserve">Eis: </w:t>
      </w:r>
      <w:r>
        <w:rPr>
          <w:rFonts w:ascii="Calibri" w:hAnsi="Calibri"/>
          <w:i w:val="0"/>
          <w:color w:val="1F2937"/>
          <w:sz w:val="20"/>
        </w:rPr>
        <w:t>Herkenbare identificatie en marking van Cr(VI)-verdachte materialen, gekoppeld aan taakrisicobeoordeling en werkvergunning.</w:t>
      </w:r>
    </w:p>
    <w:p>
      <w:r>
        <w:rPr>
          <w:rFonts w:ascii="Calibri" w:hAnsi="Calibri"/>
          <w:b/>
          <w:color w:val="1F2937"/>
          <w:sz w:val="20"/>
        </w:rPr>
        <w:t xml:space="preserve">Bevinding: </w:t>
      </w:r>
      <w:r>
        <w:rPr>
          <w:rFonts w:ascii="Calibri" w:hAnsi="Calibri"/>
          <w:i w:val="0"/>
          <w:color w:val="1F2937"/>
          <w:sz w:val="20"/>
        </w:rPr>
        <w:t>§4.4: third-party surveys, markering (verf, borden, “Cr6”-spray), het beginsel “treat as contaminated until confirmed otherwise” en de verplichte koppeling aan TRA/JSA + PTW vóór aanvang van werk — goed uitgewerkt.</w:t>
      </w:r>
    </w:p>
    <w:p>
      <w:r>
        <w:rPr>
          <w:rFonts w:ascii="Calibri" w:hAnsi="Calibri"/>
          <w:b/>
          <w:color w:val="1F2937"/>
          <w:sz w:val="20"/>
        </w:rPr>
        <w:t xml:space="preserve">Actie: </w:t>
      </w:r>
      <w:r>
        <w:rPr>
          <w:rFonts w:ascii="Calibri" w:hAnsi="Calibri"/>
          <w:i w:val="0"/>
          <w:color w:val="1F2937"/>
          <w:sz w:val="20"/>
        </w:rPr>
        <w:t>Handhaven als best practice</w:t>
      </w:r>
    </w:p>
    <w:p>
      <w:pPr>
        <w:spacing w:before="200" w:after="80"/>
      </w:pPr>
      <w:r>
        <w:rPr>
          <w:rFonts w:ascii="Calibri" w:hAnsi="Calibri"/>
          <w:b/>
          <w:color w:val="003366"/>
          <w:sz w:val="23"/>
        </w:rPr>
        <w:t>B17 — Hygiëne, decontaminatie, PBM-regime (P3, volgelaatsmasker)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shd w:val="clear" w:color="auto" w:fill="F0FDF4"/>
            <w:tcMar>
              <w:top w:w="60" w:type="dxa"/>
              <w:start w:w="120" w:type="dxa"/>
              <w:bottom w:w="60" w:type="dxa"/>
              <w:end w:w="120" w:type="dxa"/>
            </w:tcMar>
          </w:tcPr>
          <w:p>
            <w:r/>
            <w:r>
              <w:rPr>
                <w:rFonts w:ascii="Calibri" w:hAnsi="Calibri"/>
                <w:b/>
                <w:color w:val="00A859"/>
                <w:sz w:val="19"/>
              </w:rPr>
              <w:t>Classificatie: Conform</w:t>
            </w:r>
          </w:p>
        </w:tc>
      </w:tr>
    </w:tbl>
    <w:p>
      <w:pPr>
        <w:spacing w:after="40"/>
      </w:pPr>
    </w:p>
    <w:p>
      <w:r>
        <w:rPr>
          <w:rFonts w:ascii="Calibri" w:hAnsi="Calibri"/>
          <w:b/>
          <w:color w:val="1F2937"/>
          <w:sz w:val="20"/>
        </w:rPr>
        <w:t xml:space="preserve">Toetsingskader: </w:t>
      </w:r>
      <w:r>
        <w:rPr>
          <w:rFonts w:ascii="Calibri" w:hAnsi="Calibri"/>
          <w:i w:val="0"/>
          <w:color w:val="1F2937"/>
          <w:sz w:val="20"/>
        </w:rPr>
        <w:t>AI-blad 18; Arbobesluit art. 4.5/8.35-structuur [2][10]</w:t>
      </w:r>
    </w:p>
    <w:p>
      <w:r>
        <w:rPr>
          <w:rFonts w:ascii="Calibri" w:hAnsi="Calibri"/>
          <w:b/>
          <w:color w:val="1F2937"/>
          <w:sz w:val="20"/>
        </w:rPr>
        <w:t xml:space="preserve">Eis: </w:t>
      </w:r>
      <w:r>
        <w:rPr>
          <w:rFonts w:ascii="Calibri" w:hAnsi="Calibri"/>
          <w:i w:val="0"/>
          <w:color w:val="1F2937"/>
          <w:sz w:val="20"/>
        </w:rPr>
        <w:t>Concreet, per activiteit uitvoerbaar hygiëne- en PBM-regime.</w:t>
      </w:r>
    </w:p>
    <w:p>
      <w:r>
        <w:rPr>
          <w:rFonts w:ascii="Calibri" w:hAnsi="Calibri"/>
          <w:b/>
          <w:color w:val="1F2937"/>
          <w:sz w:val="20"/>
        </w:rPr>
        <w:t xml:space="preserve">Bevinding: </w:t>
      </w:r>
      <w:r>
        <w:rPr>
          <w:rFonts w:ascii="Calibri" w:hAnsi="Calibri"/>
          <w:i w:val="0"/>
          <w:color w:val="1F2937"/>
          <w:sz w:val="20"/>
        </w:rPr>
        <w:t>§4.5.1–4.5.3: eet-/rookverbod in het werkgebied, wassen/douchen, decontaminatiestations, 5 m-restrictiezone (of ruimer volgens TRA), volgelaatsmasker met P3-filter (≥ 99,95% filtratie), filterinspectie/-vervanging, minimalisering van perslucht, stofzuigsystemen met filtratie en afvoer van PBM als gevaarlijk afval — concreet en uitvoerbaar per activiteit.</w:t>
      </w:r>
    </w:p>
    <w:p>
      <w:r>
        <w:rPr>
          <w:rFonts w:ascii="Calibri" w:hAnsi="Calibri"/>
          <w:b/>
          <w:color w:val="1F2937"/>
          <w:sz w:val="20"/>
        </w:rPr>
        <w:t xml:space="preserve">Actie: </w:t>
      </w:r>
      <w:r>
        <w:rPr>
          <w:rFonts w:ascii="Calibri" w:hAnsi="Calibri"/>
          <w:i w:val="0"/>
          <w:color w:val="1F2937"/>
          <w:sz w:val="20"/>
        </w:rPr>
        <w:t>Handhaven als best practice</w:t>
      </w:r>
    </w:p>
    <w:p>
      <w:pPr>
        <w:spacing w:before="200" w:after="80"/>
      </w:pPr>
      <w:r>
        <w:rPr>
          <w:rFonts w:ascii="Calibri" w:hAnsi="Calibri"/>
          <w:b/>
          <w:color w:val="003366"/>
          <w:sz w:val="23"/>
        </w:rPr>
        <w:t>B18 — Rollen &amp; verantwoordelijkheden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shd w:val="clear" w:color="auto" w:fill="F0FDF4"/>
            <w:tcMar>
              <w:top w:w="60" w:type="dxa"/>
              <w:start w:w="120" w:type="dxa"/>
              <w:bottom w:w="60" w:type="dxa"/>
              <w:end w:w="120" w:type="dxa"/>
            </w:tcMar>
          </w:tcPr>
          <w:p>
            <w:r/>
            <w:r>
              <w:rPr>
                <w:rFonts w:ascii="Calibri" w:hAnsi="Calibri"/>
                <w:b/>
                <w:color w:val="00A859"/>
                <w:sz w:val="19"/>
              </w:rPr>
              <w:t>Classificatie: Conform</w:t>
            </w:r>
          </w:p>
        </w:tc>
      </w:tr>
    </w:tbl>
    <w:p>
      <w:pPr>
        <w:spacing w:after="40"/>
      </w:pPr>
    </w:p>
    <w:p>
      <w:r>
        <w:rPr>
          <w:rFonts w:ascii="Calibri" w:hAnsi="Calibri"/>
          <w:b/>
          <w:color w:val="1F2937"/>
          <w:sz w:val="20"/>
        </w:rPr>
        <w:t xml:space="preserve">Toetsingskader: </w:t>
      </w:r>
      <w:r>
        <w:rPr>
          <w:rFonts w:ascii="Calibri" w:hAnsi="Calibri"/>
          <w:i w:val="0"/>
          <w:color w:val="1F2937"/>
          <w:sz w:val="20"/>
        </w:rPr>
        <w:t>Arbobesluit art. 3.4-structuur (verantwoordelijkheidsverdeling werkgever) [2]</w:t>
      </w:r>
    </w:p>
    <w:p>
      <w:r>
        <w:rPr>
          <w:rFonts w:ascii="Calibri" w:hAnsi="Calibri"/>
          <w:b/>
          <w:color w:val="1F2937"/>
          <w:sz w:val="20"/>
        </w:rPr>
        <w:t xml:space="preserve">Eis: </w:t>
      </w:r>
      <w:r>
        <w:rPr>
          <w:rFonts w:ascii="Calibri" w:hAnsi="Calibri"/>
          <w:i w:val="0"/>
          <w:color w:val="1F2937"/>
          <w:sz w:val="20"/>
        </w:rPr>
        <w:t>Volledige en afdwingbare verantwoordelijkheidsverdeling.</w:t>
      </w:r>
    </w:p>
    <w:p>
      <w:r>
        <w:rPr>
          <w:rFonts w:ascii="Calibri" w:hAnsi="Calibri"/>
          <w:b/>
          <w:color w:val="1F2937"/>
          <w:sz w:val="20"/>
        </w:rPr>
        <w:t xml:space="preserve">Bevinding: </w:t>
      </w:r>
      <w:r>
        <w:rPr>
          <w:rFonts w:ascii="Calibri" w:hAnsi="Calibri"/>
          <w:i w:val="0"/>
          <w:color w:val="1F2937"/>
          <w:sz w:val="20"/>
        </w:rPr>
        <w:t>§3: Management, QHSE Manager, OIM/Site Manager, Supervisors, Personnel en Contractors — compleet, inclusief stop-work-bevoegdheid op de werkvloer.</w:t>
      </w:r>
    </w:p>
    <w:p>
      <w:r>
        <w:rPr>
          <w:rFonts w:ascii="Calibri" w:hAnsi="Calibri"/>
          <w:b/>
          <w:color w:val="1F2937"/>
          <w:sz w:val="20"/>
        </w:rPr>
        <w:t xml:space="preserve">Actie: </w:t>
      </w:r>
      <w:r>
        <w:rPr>
          <w:rFonts w:ascii="Calibri" w:hAnsi="Calibri"/>
          <w:i w:val="0"/>
          <w:color w:val="1F2937"/>
          <w:sz w:val="20"/>
        </w:rPr>
        <w:t>Handhaven als best practice</w:t>
      </w:r>
    </w:p>
    <w:p>
      <w:r>
        <w:br w:type="page"/>
      </w:r>
    </w:p>
    <w:p>
      <w:pPr>
        <w:spacing w:before="360" w:after="160"/>
        <w:pBdr>
          <w:bottom w:val="single" w:sz="12" w:space="4" w:color="003366"/>
        </w:pBdr>
      </w:pPr>
      <w:r>
        <w:rPr>
          <w:rFonts w:ascii="Calibri" w:hAnsi="Calibri"/>
          <w:b/>
          <w:color w:val="003366"/>
          <w:sz w:val="32"/>
        </w:rPr>
        <w:t>5. Gap Analysis v2.0 → v3.0</w:t>
      </w:r>
    </w:p>
    <w:p>
      <w:r>
        <w:rPr>
          <w:rFonts w:ascii="Calibri" w:hAnsi="Calibri"/>
          <w:i w:val="0"/>
          <w:color w:val="1F2937"/>
          <w:sz w:val="22"/>
        </w:rPr>
        <w:t>Versie 3.0 is geen gewijzigde auditopvatting, maar een verdieping en verbreding van v2.0. De P1/P2/Conform-kern is ongewijzigd en opnieuw gevalideerd; de verbeteringen zitten in rapportagediepte, traceerbaarheid en een nieuwe P3-laag.</w:t>
      </w:r>
    </w:p>
    <w:p>
      <w:pPr>
        <w:spacing w:before="200" w:after="80"/>
      </w:pPr>
      <w:r>
        <w:rPr>
          <w:rFonts w:ascii="Calibri" w:hAnsi="Calibri"/>
          <w:b/>
          <w:color w:val="003366"/>
          <w:sz w:val="23"/>
        </w:rPr>
        <w:t>5.1 Verbeterpunten v2.0 → v3.0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154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003366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Aspect</w:t>
            </w:r>
          </w:p>
        </w:tc>
        <w:tc>
          <w:tcPr>
            <w:tcW w:type="dxa" w:w="3061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003366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v2.0</w:t>
            </w:r>
          </w:p>
        </w:tc>
        <w:tc>
          <w:tcPr>
            <w:tcW w:type="dxa" w:w="3969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003366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v3.0</w:t>
            </w:r>
          </w:p>
        </w:tc>
      </w:tr>
      <w:tr>
        <w:tc>
          <w:tcPr>
            <w:tcW w:type="dxa" w:w="2154"/>
            <w:tcMar>
              <w:top w:w="60" w:type="dxa"/>
              <w:start w:w="100" w:type="dxa"/>
              <w:bottom w:w="60" w:type="dxa"/>
              <w:end w:w="100" w:type="dxa"/>
            </w:tcMar>
          </w:tcPr>
          <w:p>
            <w:r/>
            <w:r>
              <w:rPr>
                <w:rFonts w:ascii="Calibri" w:hAnsi="Calibri"/>
                <w:b w:val="0"/>
                <w:color w:val="1F2937"/>
                <w:sz w:val="18"/>
              </w:rPr>
              <w:t>Artikelsgewijze toetsing</w:t>
            </w:r>
          </w:p>
        </w:tc>
        <w:tc>
          <w:tcPr>
            <w:tcW w:type="dxa" w:w="3061"/>
            <w:tcMar>
              <w:top w:w="60" w:type="dxa"/>
              <w:start w:w="100" w:type="dxa"/>
              <w:bottom w:w="60" w:type="dxa"/>
              <w:end w:w="100" w:type="dxa"/>
            </w:tcMar>
          </w:tcPr>
          <w:p>
            <w:r/>
            <w:r>
              <w:rPr>
                <w:rFonts w:ascii="Calibri" w:hAnsi="Calibri"/>
                <w:b w:val="0"/>
                <w:color w:val="1F2937"/>
                <w:sz w:val="18"/>
              </w:rPr>
              <w:t>Samengevat; verwezen naar Golden Standard Audit en Conformiteitsmatrix (XLSX)</w:t>
            </w:r>
          </w:p>
        </w:tc>
        <w:tc>
          <w:tcPr>
            <w:tcW w:type="dxa" w:w="3969"/>
            <w:tcMar>
              <w:top w:w="60" w:type="dxa"/>
              <w:start w:w="100" w:type="dxa"/>
              <w:bottom w:w="60" w:type="dxa"/>
              <w:end w:w="100" w:type="dxa"/>
            </w:tcMar>
          </w:tcPr>
          <w:p>
            <w:r/>
            <w:r>
              <w:rPr>
                <w:rFonts w:ascii="Calibri" w:hAnsi="Calibri"/>
                <w:b w:val="0"/>
                <w:color w:val="1F2937"/>
                <w:sz w:val="18"/>
              </w:rPr>
              <w:t>Volledig geïntegreerd in dit rapport: per B-item toetsingskader, eis, bevinding en actie</w:t>
            </w:r>
          </w:p>
        </w:tc>
      </w:tr>
      <w:tr>
        <w:tc>
          <w:tcPr>
            <w:tcW w:type="dxa" w:w="2154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F8F9FA"/>
          </w:tcPr>
          <w:p>
            <w:r/>
            <w:r>
              <w:rPr>
                <w:rFonts w:ascii="Calibri" w:hAnsi="Calibri"/>
                <w:b w:val="0"/>
                <w:color w:val="1F2937"/>
                <w:sz w:val="18"/>
              </w:rPr>
              <w:t>KPI-presentatie</w:t>
            </w:r>
          </w:p>
        </w:tc>
        <w:tc>
          <w:tcPr>
            <w:tcW w:type="dxa" w:w="3061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F8F9FA"/>
          </w:tcPr>
          <w:p>
            <w:r/>
            <w:r>
              <w:rPr>
                <w:rFonts w:ascii="Calibri" w:hAnsi="Calibri"/>
                <w:b w:val="0"/>
                <w:color w:val="1F2937"/>
                <w:sz w:val="18"/>
              </w:rPr>
              <w:t>Classificatietabel in managementsamenvatting</w:t>
            </w:r>
          </w:p>
        </w:tc>
        <w:tc>
          <w:tcPr>
            <w:tcW w:type="dxa" w:w="3969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F8F9FA"/>
          </w:tcPr>
          <w:p>
            <w:r/>
            <w:r>
              <w:rPr>
                <w:rFonts w:ascii="Calibri" w:hAnsi="Calibri"/>
                <w:b w:val="0"/>
                <w:color w:val="1F2937"/>
                <w:sz w:val="18"/>
              </w:rPr>
              <w:t>KPI-cards (P1/P2/P3/Conform) + evolutietabel v1.0 → v2.0 → v3.0</w:t>
            </w:r>
          </w:p>
        </w:tc>
      </w:tr>
      <w:tr>
        <w:tc>
          <w:tcPr>
            <w:tcW w:type="dxa" w:w="2154"/>
            <w:tcMar>
              <w:top w:w="60" w:type="dxa"/>
              <w:start w:w="100" w:type="dxa"/>
              <w:bottom w:w="60" w:type="dxa"/>
              <w:end w:w="100" w:type="dxa"/>
            </w:tcMar>
          </w:tcPr>
          <w:p>
            <w:r/>
            <w:r>
              <w:rPr>
                <w:rFonts w:ascii="Calibri" w:hAnsi="Calibri"/>
                <w:b w:val="0"/>
                <w:color w:val="1F2937"/>
                <w:sz w:val="18"/>
              </w:rPr>
              <w:t>P3-laag</w:t>
            </w:r>
          </w:p>
        </w:tc>
        <w:tc>
          <w:tcPr>
            <w:tcW w:type="dxa" w:w="3061"/>
            <w:tcMar>
              <w:top w:w="60" w:type="dxa"/>
              <w:start w:w="100" w:type="dxa"/>
              <w:bottom w:w="60" w:type="dxa"/>
              <w:end w:w="100" w:type="dxa"/>
            </w:tcMar>
          </w:tcPr>
          <w:p>
            <w:r/>
            <w:r>
              <w:rPr>
                <w:rFonts w:ascii="Calibri" w:hAnsi="Calibri"/>
                <w:b w:val="0"/>
                <w:color w:val="1F2937"/>
                <w:sz w:val="18"/>
              </w:rPr>
              <w:t>Niet aanwezig</w:t>
            </w:r>
          </w:p>
        </w:tc>
        <w:tc>
          <w:tcPr>
            <w:tcW w:type="dxa" w:w="3969"/>
            <w:tcMar>
              <w:top w:w="60" w:type="dxa"/>
              <w:start w:w="100" w:type="dxa"/>
              <w:bottom w:w="60" w:type="dxa"/>
              <w:end w:w="100" w:type="dxa"/>
            </w:tcMar>
          </w:tcPr>
          <w:p>
            <w:r/>
            <w:r>
              <w:rPr>
                <w:rFonts w:ascii="Calibri" w:hAnsi="Calibri"/>
                <w:b w:val="0"/>
                <w:color w:val="1F2937"/>
                <w:sz w:val="18"/>
              </w:rPr>
              <w:t>3 aanvullende verbeterpunten (G-01 t/m G-03): instructie/training, meetkwaliteitsborging, continue verbetercyclus</w:t>
            </w:r>
          </w:p>
        </w:tc>
      </w:tr>
      <w:tr>
        <w:tc>
          <w:tcPr>
            <w:tcW w:type="dxa" w:w="2154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F8F9FA"/>
          </w:tcPr>
          <w:p>
            <w:r/>
            <w:r>
              <w:rPr>
                <w:rFonts w:ascii="Calibri" w:hAnsi="Calibri"/>
                <w:b w:val="0"/>
                <w:color w:val="1F2937"/>
                <w:sz w:val="18"/>
              </w:rPr>
              <w:t>Consistentietoets</w:t>
            </w:r>
          </w:p>
        </w:tc>
        <w:tc>
          <w:tcPr>
            <w:tcW w:type="dxa" w:w="3061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F8F9FA"/>
          </w:tcPr>
          <w:p>
            <w:r/>
            <w:r>
              <w:rPr>
                <w:rFonts w:ascii="Calibri" w:hAnsi="Calibri"/>
                <w:b w:val="0"/>
                <w:color w:val="1F2937"/>
                <w:sz w:val="18"/>
              </w:rPr>
              <w:t>Niet opgenomen</w:t>
            </w:r>
          </w:p>
        </w:tc>
        <w:tc>
          <w:tcPr>
            <w:tcW w:type="dxa" w:w="3969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F8F9FA"/>
          </w:tcPr>
          <w:p>
            <w:r/>
            <w:r>
              <w:rPr>
                <w:rFonts w:ascii="Calibri" w:hAnsi="Calibri"/>
                <w:b w:val="0"/>
                <w:color w:val="1F2937"/>
                <w:sz w:val="18"/>
              </w:rPr>
              <w:t>Cross-project afgezet tegen kwik-audit 003.057 en asbest-audit 003.059 (zelfde systeemhiaten) [12]</w:t>
            </w:r>
          </w:p>
        </w:tc>
      </w:tr>
      <w:tr>
        <w:tc>
          <w:tcPr>
            <w:tcW w:type="dxa" w:w="2154"/>
            <w:tcMar>
              <w:top w:w="60" w:type="dxa"/>
              <w:start w:w="100" w:type="dxa"/>
              <w:bottom w:w="60" w:type="dxa"/>
              <w:end w:w="100" w:type="dxa"/>
            </w:tcMar>
          </w:tcPr>
          <w:p>
            <w:r/>
            <w:r>
              <w:rPr>
                <w:rFonts w:ascii="Calibri" w:hAnsi="Calibri"/>
                <w:b w:val="0"/>
                <w:color w:val="1F2937"/>
                <w:sz w:val="18"/>
              </w:rPr>
              <w:t>Bronnotatie</w:t>
            </w:r>
          </w:p>
        </w:tc>
        <w:tc>
          <w:tcPr>
            <w:tcW w:type="dxa" w:w="3061"/>
            <w:tcMar>
              <w:top w:w="60" w:type="dxa"/>
              <w:start w:w="100" w:type="dxa"/>
              <w:bottom w:w="60" w:type="dxa"/>
              <w:end w:w="100" w:type="dxa"/>
            </w:tcMar>
          </w:tcPr>
          <w:p>
            <w:r/>
            <w:r>
              <w:rPr>
                <w:rFonts w:ascii="Calibri" w:hAnsi="Calibri"/>
                <w:b w:val="0"/>
                <w:color w:val="1F2937"/>
                <w:sz w:val="18"/>
              </w:rPr>
              <w:t>Bronvermelding in lopende tekst</w:t>
            </w:r>
          </w:p>
        </w:tc>
        <w:tc>
          <w:tcPr>
            <w:tcW w:type="dxa" w:w="3969"/>
            <w:tcMar>
              <w:top w:w="60" w:type="dxa"/>
              <w:start w:w="100" w:type="dxa"/>
              <w:bottom w:w="60" w:type="dxa"/>
              <w:end w:w="100" w:type="dxa"/>
            </w:tcMar>
          </w:tcPr>
          <w:p>
            <w:r/>
            <w:r>
              <w:rPr>
                <w:rFonts w:ascii="Calibri" w:hAnsi="Calibri"/>
                <w:b w:val="0"/>
                <w:color w:val="1F2937"/>
                <w:sz w:val="18"/>
              </w:rPr>
              <w:t>Wetenschappelijke notatie [n] met volledige bronnenlijst (hoofdstuk 8)</w:t>
            </w:r>
          </w:p>
        </w:tc>
      </w:tr>
      <w:tr>
        <w:tc>
          <w:tcPr>
            <w:tcW w:type="dxa" w:w="2154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F8F9FA"/>
          </w:tcPr>
          <w:p>
            <w:r/>
            <w:r>
              <w:rPr>
                <w:rFonts w:ascii="Calibri" w:hAnsi="Calibri"/>
                <w:b w:val="0"/>
                <w:color w:val="1F2937"/>
                <w:sz w:val="18"/>
              </w:rPr>
              <w:t>Actiekoppeling</w:t>
            </w:r>
          </w:p>
        </w:tc>
        <w:tc>
          <w:tcPr>
            <w:tcW w:type="dxa" w:w="3061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F8F9FA"/>
          </w:tcPr>
          <w:p>
            <w:r/>
            <w:r>
              <w:rPr>
                <w:rFonts w:ascii="Calibri" w:hAnsi="Calibri"/>
                <w:b w:val="0"/>
                <w:color w:val="1F2937"/>
                <w:sz w:val="18"/>
              </w:rPr>
              <w:t>H1–H12</w:t>
            </w:r>
          </w:p>
        </w:tc>
        <w:tc>
          <w:tcPr>
            <w:tcW w:type="dxa" w:w="3969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F8F9FA"/>
          </w:tcPr>
          <w:p>
            <w:r/>
            <w:r>
              <w:rPr>
                <w:rFonts w:ascii="Calibri" w:hAnsi="Calibri"/>
                <w:b w:val="0"/>
                <w:color w:val="1F2937"/>
                <w:sz w:val="18"/>
              </w:rPr>
              <w:t>B ↔ H 1-op-1 koppeling + G-items met concreet Rev 3-advies (hoofdstuk 6)</w:t>
            </w:r>
          </w:p>
        </w:tc>
      </w:tr>
    </w:tbl>
    <w:p>
      <w:pPr>
        <w:spacing w:before="200" w:after="80"/>
      </w:pPr>
      <w:r>
        <w:rPr>
          <w:rFonts w:ascii="Calibri" w:hAnsi="Calibri"/>
          <w:b/>
          <w:color w:val="003366"/>
          <w:sz w:val="23"/>
        </w:rPr>
        <w:t>5.2 Nieuwe bevindingen in v3.0 (P3 — aanvullend)</w:t>
      </w:r>
    </w:p>
    <w:p>
      <w:r>
        <w:rPr>
          <w:rFonts w:ascii="Calibri" w:hAnsi="Calibri"/>
          <w:i w:val="0"/>
          <w:color w:val="1F2937"/>
          <w:sz w:val="20"/>
        </w:rPr>
        <w:t>De G-items zijn geen wettelijke hiaten, maar aanvullende verbeterpunten die de effectiviteit van de P1/P2-herstelacties versterken. Ze zijn voorgesteld voor opname in de Rev 3-implementatie.</w:t>
      </w:r>
    </w:p>
    <w:p>
      <w:pPr>
        <w:spacing w:before="200" w:after="80"/>
      </w:pPr>
      <w:r>
        <w:rPr>
          <w:rFonts w:ascii="Calibri" w:hAnsi="Calibri"/>
          <w:b/>
          <w:color w:val="003366"/>
          <w:sz w:val="23"/>
        </w:rPr>
        <w:t>G-01 — Instructie en training Cr(VI)-specifiek  (nieuw in v3.0)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shd w:val="clear" w:color="auto" w:fill="EFF6FF"/>
            <w:tcMar>
              <w:top w:w="60" w:type="dxa"/>
              <w:start w:w="120" w:type="dxa"/>
              <w:bottom w:w="60" w:type="dxa"/>
              <w:end w:w="120" w:type="dxa"/>
            </w:tcMar>
          </w:tcPr>
          <w:p>
            <w:r/>
            <w:r>
              <w:rPr>
                <w:rFonts w:ascii="Calibri" w:hAnsi="Calibri"/>
                <w:b/>
                <w:color w:val="3B82F6"/>
                <w:sz w:val="19"/>
              </w:rPr>
              <w:t>Classificatie: P3 — aanvullend verbeterpunt, geen wettelijk hiaat</w:t>
            </w:r>
          </w:p>
        </w:tc>
      </w:tr>
    </w:tbl>
    <w:p>
      <w:pPr>
        <w:spacing w:after="40"/>
      </w:pPr>
    </w:p>
    <w:p>
      <w:r>
        <w:rPr>
          <w:rFonts w:ascii="Calibri" w:hAnsi="Calibri"/>
          <w:b/>
          <w:color w:val="1F2937"/>
          <w:sz w:val="20"/>
        </w:rPr>
        <w:t xml:space="preserve">Kader: </w:t>
      </w:r>
      <w:r>
        <w:rPr>
          <w:rFonts w:ascii="Calibri" w:hAnsi="Calibri"/>
          <w:i w:val="0"/>
          <w:color w:val="1F2937"/>
          <w:sz w:val="20"/>
        </w:rPr>
        <w:t>AI-blad 18/77-praktijk [3][10]</w:t>
      </w:r>
    </w:p>
    <w:p>
      <w:r>
        <w:rPr>
          <w:rFonts w:ascii="Calibri" w:hAnsi="Calibri"/>
          <w:b/>
          <w:color w:val="1F2937"/>
          <w:sz w:val="20"/>
        </w:rPr>
        <w:t xml:space="preserve">Waarneming: </w:t>
      </w:r>
      <w:r>
        <w:rPr>
          <w:rFonts w:ascii="Calibri" w:hAnsi="Calibri"/>
          <w:i w:val="0"/>
          <w:color w:val="1F2937"/>
          <w:sz w:val="20"/>
        </w:rPr>
        <w:t>De procedure koppelt werk aan TRA/JSA + PTW (§4.4), maar bevat geen Cr(VI)-specifiek instructie- of competentie-element voor uitvoerenden.</w:t>
      </w:r>
    </w:p>
    <w:p>
      <w:r>
        <w:rPr>
          <w:rFonts w:ascii="Calibri" w:hAnsi="Calibri"/>
          <w:b/>
          <w:color w:val="1F2937"/>
          <w:sz w:val="20"/>
        </w:rPr>
        <w:t xml:space="preserve">Actie: </w:t>
      </w:r>
      <w:r>
        <w:rPr>
          <w:rFonts w:ascii="Calibri" w:hAnsi="Calibri"/>
          <w:i w:val="0"/>
          <w:color w:val="1F2937"/>
          <w:sz w:val="20"/>
        </w:rPr>
        <w:t>Voeg een instructie-/competentieparagraaf toe: Cr(VI)-bewustzijnstraining bij onboarding, registratieplicht voor PBM-fit-tests (volgelaatsmasker, koppeling B17) en periodieke spill-response-instructie.</w:t>
      </w:r>
    </w:p>
    <w:p>
      <w:pPr>
        <w:spacing w:before="200" w:after="80"/>
      </w:pPr>
      <w:r>
        <w:rPr>
          <w:rFonts w:ascii="Calibri" w:hAnsi="Calibri"/>
          <w:b/>
          <w:color w:val="003366"/>
          <w:sz w:val="23"/>
        </w:rPr>
        <w:t>G-02 — Kwaliteitsborging meetproces  (nieuw in v3.0)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shd w:val="clear" w:color="auto" w:fill="EFF6FF"/>
            <w:tcMar>
              <w:top w:w="60" w:type="dxa"/>
              <w:start w:w="120" w:type="dxa"/>
              <w:bottom w:w="60" w:type="dxa"/>
              <w:end w:w="120" w:type="dxa"/>
            </w:tcMar>
          </w:tcPr>
          <w:p>
            <w:r/>
            <w:r>
              <w:rPr>
                <w:rFonts w:ascii="Calibri" w:hAnsi="Calibri"/>
                <w:b/>
                <w:color w:val="3B82F6"/>
                <w:sz w:val="19"/>
              </w:rPr>
              <w:t>Classificatie: P3 — aanvullend verbeterpunt, geen wettelijk hiaat</w:t>
            </w:r>
          </w:p>
        </w:tc>
      </w:tr>
    </w:tbl>
    <w:p>
      <w:pPr>
        <w:spacing w:after="40"/>
      </w:pPr>
    </w:p>
    <w:p>
      <w:r>
        <w:rPr>
          <w:rFonts w:ascii="Calibri" w:hAnsi="Calibri"/>
          <w:b/>
          <w:color w:val="1F2937"/>
          <w:sz w:val="20"/>
        </w:rPr>
        <w:t xml:space="preserve">Kader: </w:t>
      </w:r>
      <w:r>
        <w:rPr>
          <w:rFonts w:ascii="Calibri" w:hAnsi="Calibri"/>
          <w:i w:val="0"/>
          <w:color w:val="1F2937"/>
          <w:sz w:val="20"/>
        </w:rPr>
        <w:t>NEN-EN 689/482 [8]</w:t>
      </w:r>
    </w:p>
    <w:p>
      <w:r>
        <w:rPr>
          <w:rFonts w:ascii="Calibri" w:hAnsi="Calibri"/>
          <w:b/>
          <w:color w:val="1F2937"/>
          <w:sz w:val="20"/>
        </w:rPr>
        <w:t xml:space="preserve">Waarneming: </w:t>
      </w:r>
      <w:r>
        <w:rPr>
          <w:rFonts w:ascii="Calibri" w:hAnsi="Calibri"/>
          <w:i w:val="0"/>
          <w:color w:val="1F2937"/>
          <w:sz w:val="20"/>
        </w:rPr>
        <w:t>B1/H1 introduceert een meetstrategie; de kwaliteitsborging van het meetproces zelf (laboratorium, apparatuur, data) is nog niet ingevuld.</w:t>
      </w:r>
    </w:p>
    <w:p>
      <w:r>
        <w:rPr>
          <w:rFonts w:ascii="Calibri" w:hAnsi="Calibri"/>
          <w:b/>
          <w:color w:val="1F2937"/>
          <w:sz w:val="20"/>
        </w:rPr>
        <w:t xml:space="preserve">Actie: </w:t>
      </w:r>
      <w:r>
        <w:rPr>
          <w:rFonts w:ascii="Calibri" w:hAnsi="Calibri"/>
          <w:i w:val="0"/>
          <w:color w:val="1F2937"/>
          <w:sz w:val="20"/>
        </w:rPr>
        <w:t>Vul H1 aan met: analyses uitsluitend door een ISO/IEC 17025-geaccrediteerd laboratorium, kalibratie- en onderhoudsregime voor bemonsteringsapparatuur, en een validatieprotocol voor meetdata met bewaartermijn van meetrapporten (koppeling B3/H3).</w:t>
      </w:r>
    </w:p>
    <w:p>
      <w:pPr>
        <w:spacing w:before="200" w:after="80"/>
      </w:pPr>
      <w:r>
        <w:rPr>
          <w:rFonts w:ascii="Calibri" w:hAnsi="Calibri"/>
          <w:b/>
          <w:color w:val="003366"/>
          <w:sz w:val="23"/>
        </w:rPr>
        <w:t>G-03 — Continue verbetercyclus  (nieuw in v3.0)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shd w:val="clear" w:color="auto" w:fill="EFF6FF"/>
            <w:tcMar>
              <w:top w:w="60" w:type="dxa"/>
              <w:start w:w="120" w:type="dxa"/>
              <w:bottom w:w="60" w:type="dxa"/>
              <w:end w:w="120" w:type="dxa"/>
            </w:tcMar>
          </w:tcPr>
          <w:p>
            <w:r/>
            <w:r>
              <w:rPr>
                <w:rFonts w:ascii="Calibri" w:hAnsi="Calibri"/>
                <w:b/>
                <w:color w:val="3B82F6"/>
                <w:sz w:val="19"/>
              </w:rPr>
              <w:t>Classificatie: P3 — aanvullend verbeterpunt, geen wettelijk hiaat</w:t>
            </w:r>
          </w:p>
        </w:tc>
      </w:tr>
    </w:tbl>
    <w:p>
      <w:pPr>
        <w:spacing w:after="40"/>
      </w:pPr>
    </w:p>
    <w:p>
      <w:r>
        <w:rPr>
          <w:rFonts w:ascii="Calibri" w:hAnsi="Calibri"/>
          <w:b/>
          <w:color w:val="1F2937"/>
          <w:sz w:val="20"/>
        </w:rPr>
        <w:t xml:space="preserve">Kader: </w:t>
      </w:r>
      <w:r>
        <w:rPr>
          <w:rFonts w:ascii="Calibri" w:hAnsi="Calibri"/>
          <w:i w:val="0"/>
          <w:color w:val="1F2937"/>
          <w:sz w:val="20"/>
        </w:rPr>
        <w:t>Kwaliteitsysteemlogica / ISO 9001</w:t>
      </w:r>
    </w:p>
    <w:p>
      <w:r>
        <w:rPr>
          <w:rFonts w:ascii="Calibri" w:hAnsi="Calibri"/>
          <w:b/>
          <w:color w:val="1F2937"/>
          <w:sz w:val="20"/>
        </w:rPr>
        <w:t xml:space="preserve">Waarneming: </w:t>
      </w:r>
      <w:r>
        <w:rPr>
          <w:rFonts w:ascii="Calibri" w:hAnsi="Calibri"/>
          <w:i w:val="0"/>
          <w:color w:val="1F2937"/>
          <w:sz w:val="20"/>
        </w:rPr>
        <w:t>§5 (Continuous Improvement) kent reviewtriggers (incidenten, monitoringresultaten, wijzigingen), maar geen vaste reviewfrequentie en geen lessons-learned-structuur.</w:t>
      </w:r>
    </w:p>
    <w:p>
      <w:r>
        <w:rPr>
          <w:rFonts w:ascii="Calibri" w:hAnsi="Calibri"/>
          <w:b/>
          <w:color w:val="1F2937"/>
          <w:sz w:val="20"/>
        </w:rPr>
        <w:t xml:space="preserve">Actie: </w:t>
      </w:r>
      <w:r>
        <w:rPr>
          <w:rFonts w:ascii="Calibri" w:hAnsi="Calibri"/>
          <w:i w:val="0"/>
          <w:color w:val="1F2937"/>
          <w:sz w:val="20"/>
        </w:rPr>
        <w:t>Veranker een jaarlijkse periodieke review van de procedure, een gestandaardiseerde incidentanalyse (koppeling H6) en een feedbackloop met de werkvloer via toolbox- en Lessen-Geleerd-momenten.</w:t>
      </w:r>
    </w:p>
    <w:p>
      <w:pPr>
        <w:spacing w:before="200" w:after="80"/>
      </w:pPr>
      <w:r>
        <w:rPr>
          <w:rFonts w:ascii="Calibri" w:hAnsi="Calibri"/>
          <w:b/>
          <w:color w:val="003366"/>
          <w:sz w:val="23"/>
        </w:rPr>
        <w:t>5.3 Consistentietoets binnen de 003-procedureserie</w:t>
      </w:r>
    </w:p>
    <w:p>
      <w:r>
        <w:rPr>
          <w:rFonts w:ascii="Calibri" w:hAnsi="Calibri"/>
          <w:i w:val="0"/>
          <w:color w:val="1F2937"/>
          <w:sz w:val="22"/>
        </w:rPr>
        <w:t>De parallelle JvG-audits op de Koole MSD 003-procedureserie (kwik 003.057, asbest 003.059) wijzen onafhankelijk hetzelfde systeemprobleem uit: medische surveillance (AGO), blootstellingsregister (art. 4.15) en 40-jaar bewaring ontbreken in alle drie de procedures [12]. Deze overlap bevestigt de betrouwbaarheid van de toetsingsmethodiek en rechtvaardigt een horizontale herzieningsopdracht op serieniveau: één CMR-basisparagraaf die in 003.056, 003.057 en 003.059 wordt geïmplementeerd, in plaats van drie losse herzieningstrajecten.</w:t>
      </w:r>
    </w:p>
    <w:p>
      <w:pPr>
        <w:spacing w:before="360" w:after="160"/>
        <w:pBdr>
          <w:bottom w:val="single" w:sz="12" w:space="4" w:color="003366"/>
        </w:pBdr>
      </w:pPr>
      <w:r>
        <w:rPr>
          <w:rFonts w:ascii="Calibri" w:hAnsi="Calibri"/>
          <w:b/>
          <w:color w:val="003366"/>
          <w:sz w:val="32"/>
        </w:rPr>
        <w:t>6. Conclusie en advies</w:t>
      </w:r>
    </w:p>
    <w:p>
      <w:r>
        <w:rPr>
          <w:rFonts w:ascii="Calibri" w:hAnsi="Calibri"/>
          <w:i w:val="0"/>
          <w:color w:val="1F2937"/>
          <w:sz w:val="22"/>
        </w:rPr>
        <w:t>De operationele kern van de procedure is op orde: gevareninformatie, identificatie/marking, hygiëneregime en PBM-regime zijn conform (B7, B15–B18). De formele arbo-juridische verslagleggings- en zorgstructuur ontbreekt echter vrijwel volledig (5× P1). Zonder meetstrategie, AGO, bewaarregeling, RI&amp;E-verankering en blootstellingsregister is de procedure in de huidige versie niet aantoonbaar conform Arbobesluit Hoofdstuk 4 Afdeling 3 [2].</w:t>
      </w:r>
    </w:p>
    <w:p>
      <w:pPr>
        <w:spacing w:before="200" w:after="80"/>
      </w:pPr>
      <w:r>
        <w:rPr>
          <w:rFonts w:ascii="Calibri" w:hAnsi="Calibri"/>
          <w:b/>
          <w:color w:val="003366"/>
          <w:sz w:val="23"/>
        </w:rPr>
        <w:t>6.1 Spoedrevisie (P1 — vóór projectuitvoering)</w:t>
      </w:r>
    </w:p>
    <w:p>
      <w:pPr>
        <w:pStyle w:val="ListBullet"/>
      </w:pPr>
      <w:r>
        <w:rPr>
          <w:rFonts w:ascii="Calibri" w:hAnsi="Calibri"/>
          <w:color w:val="1F2937"/>
        </w:rPr>
        <w:t>H1 — Meetstrategie conform NEN-EN 689/482 met toetsing aan 1 µg/m³, inclusief de normreferenties in §6 (B1, B13) [8]</w:t>
      </w:r>
    </w:p>
    <w:p>
      <w:pPr>
        <w:pStyle w:val="ListBullet"/>
      </w:pPr>
      <w:r>
        <w:rPr>
          <w:rFonts w:ascii="Calibri" w:hAnsi="Calibri"/>
          <w:color w:val="1F2937"/>
        </w:rPr>
        <w:t>H2 — AGO-regeling en bedrijfsartsrol (B2) [2]</w:t>
      </w:r>
    </w:p>
    <w:p>
      <w:pPr>
        <w:pStyle w:val="ListBullet"/>
      </w:pPr>
      <w:r>
        <w:rPr>
          <w:rFonts w:ascii="Calibri" w:hAnsi="Calibri"/>
          <w:color w:val="1F2937"/>
        </w:rPr>
        <w:t>H3 — bewaar- en overdrachtsregeling blootstellingsgegevens, 40 jaar (B3) [2][3]</w:t>
      </w:r>
    </w:p>
    <w:p>
      <w:pPr>
        <w:pStyle w:val="ListBullet"/>
      </w:pPr>
      <w:r>
        <w:rPr>
          <w:rFonts w:ascii="Calibri" w:hAnsi="Calibri"/>
          <w:color w:val="1F2937"/>
        </w:rPr>
        <w:t>H5 — expliciete RI&amp;E-koppeling met vervangings-/bronmaatregelonderbouwing (B4) [2][3]</w:t>
      </w:r>
    </w:p>
    <w:p>
      <w:pPr>
        <w:pStyle w:val="ListBullet"/>
      </w:pPr>
      <w:r>
        <w:rPr>
          <w:rFonts w:ascii="Calibri" w:hAnsi="Calibri"/>
          <w:color w:val="1F2937"/>
        </w:rPr>
        <w:t>H4 — exposure register: lijst blootgestelde werknemers incl. subcontractors, met inzage- en afschriftrecht (B5) [2][3]</w:t>
      </w:r>
    </w:p>
    <w:p>
      <w:pPr>
        <w:spacing w:before="200" w:after="80"/>
      </w:pPr>
      <w:r>
        <w:rPr>
          <w:rFonts w:ascii="Calibri" w:hAnsi="Calibri"/>
          <w:b/>
          <w:color w:val="003366"/>
          <w:sz w:val="23"/>
        </w:rPr>
        <w:t>6.2 Advies Rev 3-implementatie (P2 + P3)</w:t>
      </w:r>
    </w:p>
    <w:p>
      <w:r>
        <w:rPr>
          <w:rFonts w:ascii="Calibri" w:hAnsi="Calibri"/>
          <w:i w:val="0"/>
          <w:color w:val="1F2937"/>
          <w:sz w:val="22"/>
        </w:rPr>
        <w:t>JvG adviseert de P2-herstelacties (H6–H12) en de drie P3-aanvullingen (G-01 t/m G-03) niet te versnipperen over meerdere revisies, maar integraal op te nemen in één Rev 3-release, binnen twee tot vier weken na de P1-spoedrevisie. De herstelteksten zijn reeds volledig uitgewerkt in het Tekstueel Verbeteradvies v3.0 (T-01 t/m T-24) en het Herzieningsvoorstel v3.0 [11][13], waardoor de implementatie-inspanning beperkt blijft tot redactionele verwerking en goedkeuring. De Rev 3-release dient minimaal te omvatten:</w:t>
      </w:r>
    </w:p>
    <w:p>
      <w:pPr>
        <w:pStyle w:val="ListBullet"/>
      </w:pPr>
      <w:r>
        <w:rPr>
          <w:rFonts w:ascii="Calibri" w:hAnsi="Calibri"/>
          <w:color w:val="1F2937"/>
        </w:rPr>
        <w:t>H6 — calamiteitenprotocol abnormale blootstelling incl. OR/PVT-kanaal (B6) [2]</w:t>
      </w:r>
    </w:p>
    <w:p>
      <w:pPr>
        <w:pStyle w:val="ListBullet"/>
      </w:pPr>
      <w:r>
        <w:rPr>
          <w:rFonts w:ascii="Calibri" w:hAnsi="Calibri"/>
          <w:color w:val="1F2937"/>
        </w:rPr>
        <w:t>H7 — REACH Bijlage XIV-referentie met afbakening (B8) [4]</w:t>
      </w:r>
    </w:p>
    <w:p>
      <w:pPr>
        <w:pStyle w:val="ListBullet"/>
      </w:pPr>
      <w:r>
        <w:rPr>
          <w:rFonts w:ascii="Calibri" w:hAnsi="Calibri"/>
          <w:color w:val="1F2937"/>
        </w:rPr>
        <w:t>H8 — uitgewerkte afvalstroombepalingen incl. zeetransport en bewijslast (B9) [5]</w:t>
      </w:r>
    </w:p>
    <w:p>
      <w:pPr>
        <w:pStyle w:val="ListBullet"/>
      </w:pPr>
      <w:r>
        <w:rPr>
          <w:rFonts w:ascii="Calibri" w:hAnsi="Calibri"/>
          <w:color w:val="1F2937"/>
        </w:rPr>
        <w:t>H9 — AI-bladen 67/31/18/77 in §6 (B10) [3][10]</w:t>
      </w:r>
    </w:p>
    <w:p>
      <w:pPr>
        <w:pStyle w:val="ListBullet"/>
      </w:pPr>
      <w:r>
        <w:rPr>
          <w:rFonts w:ascii="Calibri" w:hAnsi="Calibri"/>
          <w:color w:val="1F2937"/>
        </w:rPr>
        <w:t>H10 — operationele vertaling van het Beheersregime Chroom-6 (B11) [6]</w:t>
      </w:r>
    </w:p>
    <w:p>
      <w:pPr>
        <w:pStyle w:val="ListBullet"/>
      </w:pPr>
      <w:r>
        <w:rPr>
          <w:rFonts w:ascii="Calibri" w:hAnsi="Calibri"/>
          <w:color w:val="1F2937"/>
        </w:rPr>
        <w:t>H11 — volledige maatregelenhiërarchie incl. substitutie-/bronmaatregeldocumentatie (B12)</w:t>
      </w:r>
    </w:p>
    <w:p>
      <w:pPr>
        <w:pStyle w:val="ListBullet"/>
      </w:pPr>
      <w:r>
        <w:rPr>
          <w:rFonts w:ascii="Calibri" w:hAnsi="Calibri"/>
          <w:color w:val="1F2937"/>
        </w:rPr>
        <w:t>H12 — versieconsistentie en documentbeheer herstellen (B14)</w:t>
      </w:r>
    </w:p>
    <w:p>
      <w:pPr>
        <w:pStyle w:val="ListBullet"/>
      </w:pPr>
      <w:r>
        <w:rPr>
          <w:rFonts w:ascii="Calibri" w:hAnsi="Calibri"/>
          <w:color w:val="1F2937"/>
        </w:rPr>
        <w:t>G-01 t/m G-03 — instructie/training, meetkwaliteitsborging (ISO/IEC 17025) en continue verbetercyclus</w:t>
      </w:r>
    </w:p>
    <w:p>
      <w:pPr>
        <w:pStyle w:val="ListBullet"/>
      </w:pPr>
      <w:r>
        <w:rPr>
          <w:rFonts w:ascii="Calibri" w:hAnsi="Calibri"/>
          <w:color w:val="1F2937"/>
        </w:rPr>
        <w:t>Horizontale CMR-basisparagraaf op 003-serieniveau (gedeeld met 003.057 en 003.059) [12]</w:t>
      </w:r>
    </w:p>
    <w:p>
      <w:pPr>
        <w:spacing w:before="200" w:after="80"/>
      </w:pPr>
      <w:r>
        <w:rPr>
          <w:rFonts w:ascii="Calibri" w:hAnsi="Calibri"/>
          <w:b/>
          <w:color w:val="003366"/>
          <w:sz w:val="23"/>
        </w:rPr>
        <w:t>6.3 Vastlegging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3061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003366"/>
          </w:tcPr>
          <w:p>
            <w:r/>
            <w:r>
              <w:rPr>
                <w:rFonts w:ascii="Calibri" w:hAnsi="Calibri"/>
                <w:b/>
                <w:color w:val="FFFFFF"/>
                <w:sz w:val="19"/>
              </w:rPr>
              <w:t>Element</w:t>
            </w:r>
          </w:p>
        </w:tc>
        <w:tc>
          <w:tcPr>
            <w:tcW w:type="dxa" w:w="6123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003366"/>
          </w:tcPr>
          <w:p>
            <w:r/>
            <w:r>
              <w:rPr>
                <w:rFonts w:ascii="Calibri" w:hAnsi="Calibri"/>
                <w:b/>
                <w:color w:val="FFFFFF"/>
                <w:sz w:val="19"/>
              </w:rPr>
              <w:t>Bepaling</w:t>
            </w:r>
          </w:p>
        </w:tc>
      </w:tr>
      <w:tr>
        <w:tc>
          <w:tcPr>
            <w:tcW w:type="dxa" w:w="3061"/>
            <w:tcMar>
              <w:top w:w="60" w:type="dxa"/>
              <w:start w:w="100" w:type="dxa"/>
              <w:bottom w:w="60" w:type="dxa"/>
              <w:end w:w="100" w:type="dxa"/>
            </w:tcMar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Eigenaar herstelacties</w:t>
            </w:r>
          </w:p>
        </w:tc>
        <w:tc>
          <w:tcPr>
            <w:tcW w:type="dxa" w:w="6123"/>
            <w:tcMar>
              <w:top w:w="60" w:type="dxa"/>
              <w:start w:w="100" w:type="dxa"/>
              <w:bottom w:w="60" w:type="dxa"/>
              <w:end w:w="100" w:type="dxa"/>
            </w:tcMar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QHSE Manager Koole</w:t>
            </w:r>
          </w:p>
        </w:tc>
      </w:tr>
      <w:tr>
        <w:tc>
          <w:tcPr>
            <w:tcW w:type="dxa" w:w="3061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F8F9FA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P1-spoedrevisie</w:t>
            </w:r>
          </w:p>
        </w:tc>
        <w:tc>
          <w:tcPr>
            <w:tcW w:type="dxa" w:w="6123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F8F9FA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Vóór aanvang projectuitvoering</w:t>
            </w:r>
          </w:p>
        </w:tc>
      </w:tr>
      <w:tr>
        <w:tc>
          <w:tcPr>
            <w:tcW w:type="dxa" w:w="3061"/>
            <w:tcMar>
              <w:top w:w="60" w:type="dxa"/>
              <w:start w:w="100" w:type="dxa"/>
              <w:bottom w:w="60" w:type="dxa"/>
              <w:end w:w="100" w:type="dxa"/>
            </w:tcMar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Rev 3 (P2 + P3, integraal)</w:t>
            </w:r>
          </w:p>
        </w:tc>
        <w:tc>
          <w:tcPr>
            <w:tcW w:type="dxa" w:w="6123"/>
            <w:tcMar>
              <w:top w:w="60" w:type="dxa"/>
              <w:start w:w="100" w:type="dxa"/>
              <w:bottom w:w="60" w:type="dxa"/>
              <w:end w:w="100" w:type="dxa"/>
            </w:tcMar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2–4 weken na P1-revisie</w:t>
            </w:r>
          </w:p>
        </w:tc>
      </w:tr>
      <w:tr>
        <w:tc>
          <w:tcPr>
            <w:tcW w:type="dxa" w:w="3061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F8F9FA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Verificatie na implementatie</w:t>
            </w:r>
          </w:p>
        </w:tc>
        <w:tc>
          <w:tcPr>
            <w:tcW w:type="dxa" w:w="6123"/>
            <w:tcMar>
              <w:top w:w="60" w:type="dxa"/>
              <w:start w:w="100" w:type="dxa"/>
              <w:bottom w:w="60" w:type="dxa"/>
              <w:end w:w="100" w:type="dxa"/>
            </w:tcMar>
            <w:shd w:val="clear" w:color="auto" w:fill="F8F9FA"/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Meetrapporten, AGO-aanbiedingen, exposure register (V-3)</w:t>
            </w:r>
          </w:p>
        </w:tc>
      </w:tr>
      <w:tr>
        <w:tc>
          <w:tcPr>
            <w:tcW w:type="dxa" w:w="3061"/>
            <w:tcMar>
              <w:top w:w="60" w:type="dxa"/>
              <w:start w:w="100" w:type="dxa"/>
              <w:bottom w:w="60" w:type="dxa"/>
              <w:end w:w="100" w:type="dxa"/>
            </w:tcMar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Gekoppelde documenten</w:t>
            </w:r>
          </w:p>
        </w:tc>
        <w:tc>
          <w:tcPr>
            <w:tcW w:type="dxa" w:w="6123"/>
            <w:tcMar>
              <w:top w:w="60" w:type="dxa"/>
              <w:start w:w="100" w:type="dxa"/>
              <w:bottom w:w="60" w:type="dxa"/>
              <w:end w:w="100" w:type="dxa"/>
            </w:tcMar>
          </w:tcPr>
          <w:p>
            <w:r/>
            <w:r>
              <w:rPr>
                <w:rFonts w:ascii="Calibri" w:hAnsi="Calibri"/>
                <w:b w:val="0"/>
                <w:color w:val="1F2937"/>
                <w:sz w:val="19"/>
              </w:rPr>
              <w:t>Herzieningsvoorstel v3.0 · Tekstueel Verbeteradvies v3.0 · Conformiteitsmatrix v1.0 (XLSX)</w:t>
            </w:r>
          </w:p>
        </w:tc>
      </w:tr>
    </w:tbl>
    <w:p>
      <w:r>
        <w:rPr>
          <w:rFonts w:ascii="Calibri" w:hAnsi="Calibri"/>
          <w:i w:val="0"/>
          <w:color w:val="1F2937"/>
          <w:sz w:val="20"/>
        </w:rPr>
        <w:t>Na implementatie van de P1- en P2/herstelacties wordt een conformiteitsniveau van 18 van 18 basiseitems (B1–B18) bereikt, behoudens praktijkverificatie van de implementatie (V-3).</w:t>
      </w:r>
    </w:p>
    <w:p>
      <w:pPr>
        <w:spacing w:before="360" w:after="160"/>
        <w:pBdr>
          <w:bottom w:val="single" w:sz="12" w:space="4" w:color="003366"/>
        </w:pBdr>
      </w:pPr>
      <w:r>
        <w:rPr>
          <w:rFonts w:ascii="Calibri" w:hAnsi="Calibri"/>
          <w:b/>
          <w:color w:val="003366"/>
          <w:sz w:val="32"/>
        </w:rPr>
        <w:t>7. Beperkingen en verificatiepunten</w:t>
      </w:r>
    </w:p>
    <w:p>
      <w:r>
        <w:rPr>
          <w:rFonts w:ascii="Calibri" w:hAnsi="Calibri"/>
          <w:i w:val="0"/>
          <w:color w:val="1F2937"/>
          <w:sz w:val="22"/>
        </w:rPr>
        <w:t>Dit is een document-based audit op de integrale tekst van het brondocument (12 pagina's) [1]; er heeft geen veldverificatie plaatsgevonden. Verificatie is vereist voor:</w:t>
      </w:r>
    </w:p>
    <w:p>
      <w:pPr>
        <w:pStyle w:val="ListBullet"/>
      </w:pPr>
      <w:r>
        <w:rPr>
          <w:rFonts w:ascii="Calibri" w:hAnsi="Calibri"/>
          <w:color w:val="1F2937"/>
        </w:rPr>
        <w:t>V-1 — marking- en surveypraktijk op het platform ( conformiteit van B16 in de praktijk)</w:t>
      </w:r>
    </w:p>
    <w:p>
      <w:pPr>
        <w:pStyle w:val="ListBullet"/>
      </w:pPr>
      <w:r>
        <w:rPr>
          <w:rFonts w:ascii="Calibri" w:hAnsi="Calibri"/>
          <w:color w:val="1F2937"/>
        </w:rPr>
        <w:t>V-2 — feitelijke afvalafvoer en verwerkerserkenning (koppeling B9/H8)</w:t>
      </w:r>
    </w:p>
    <w:p>
      <w:pPr>
        <w:pStyle w:val="ListBullet"/>
      </w:pPr>
      <w:r>
        <w:rPr>
          <w:rFonts w:ascii="Calibri" w:hAnsi="Calibri"/>
          <w:color w:val="1F2937"/>
        </w:rPr>
        <w:t>V-3 — toekomstige implementatie van H1–H5: meetrapporten, AGO-aanbiedingen en de registratielijst van blootgestelde werknemers</w:t>
      </w:r>
    </w:p>
    <w:p>
      <w:r>
        <w:rPr>
          <w:rFonts w:ascii="Calibri" w:hAnsi="Calibri"/>
          <w:i w:val="0"/>
          <w:color w:val="1F2937"/>
          <w:sz w:val="19"/>
        </w:rPr>
        <w:t>Het originele brondocument is als PDF beschikbaar gesteld via inbound media; de audit is uitgevoerd op de daaruit geëxtraheerde integrale tekst [1].</w:t>
      </w:r>
    </w:p>
    <w:p>
      <w:pPr>
        <w:spacing w:before="360" w:after="160"/>
        <w:pBdr>
          <w:bottom w:val="single" w:sz="12" w:space="4" w:color="003366"/>
        </w:pBdr>
      </w:pPr>
      <w:r>
        <w:rPr>
          <w:rFonts w:ascii="Calibri" w:hAnsi="Calibri"/>
          <w:b/>
          <w:color w:val="003366"/>
          <w:sz w:val="32"/>
        </w:rPr>
        <w:t>8. Bronnen</w:t>
      </w:r>
    </w:p>
    <w:p>
      <w:r>
        <w:rPr>
          <w:rFonts w:ascii="Calibri" w:hAnsi="Calibri"/>
          <w:b/>
          <w:color w:val="1F2937"/>
          <w:sz w:val="18"/>
        </w:rPr>
        <w:t xml:space="preserve">[1]  </w:t>
      </w:r>
      <w:r>
        <w:rPr>
          <w:rFonts w:ascii="Calibri" w:hAnsi="Calibri"/>
          <w:i w:val="0"/>
          <w:color w:val="1F2937"/>
          <w:sz w:val="18"/>
        </w:rPr>
        <w:t>003.056 Chromium VI Exposure Control Procedure, Rev A (02-03-2026) / Rev 1 (15-04-2026), KOO B.V. — integrale tekst (12 p.), research/003.056_Chromium_VI_Exposure_Control_Procedure_Rev_A.pdf</w:t>
      </w:r>
    </w:p>
    <w:p>
      <w:r>
        <w:rPr>
          <w:rFonts w:ascii="Calibri" w:hAnsi="Calibri"/>
          <w:b/>
          <w:color w:val="1F2937"/>
          <w:sz w:val="18"/>
        </w:rPr>
        <w:t xml:space="preserve">[2]  </w:t>
      </w:r>
      <w:r>
        <w:rPr>
          <w:rFonts w:ascii="Calibri" w:hAnsi="Calibri"/>
          <w:i w:val="0"/>
          <w:color w:val="1F2937"/>
          <w:sz w:val="18"/>
        </w:rPr>
        <w:t>Arbobesluit, Hoofdstuk 4, Afdeling 3 (kankerverwekkende en mutagene stoffen): art. 4.2 lid 1 en 4, 4.2a, 4.10a, 4.10c, 4.13, 4.15, 4.21</w:t>
      </w:r>
    </w:p>
    <w:p>
      <w:r>
        <w:rPr>
          <w:rFonts w:ascii="Calibri" w:hAnsi="Calibri"/>
          <w:b/>
          <w:color w:val="1F2937"/>
          <w:sz w:val="18"/>
        </w:rPr>
        <w:t xml:space="preserve">[3]  </w:t>
      </w:r>
      <w:r>
        <w:rPr>
          <w:rFonts w:ascii="Calibri" w:hAnsi="Calibri"/>
          <w:i w:val="0"/>
          <w:color w:val="1F2937"/>
          <w:sz w:val="18"/>
        </w:rPr>
        <w:t>Arbo-Informatieblad 77 — Chroom-6 (SZW/SDU): grenswaarde 1 µg/m³ per 1-3-2017, Gezondheidsraad-beredenering, NEN-EN 689-toetskader, art. 4.15-lijst, 40-jaar bewaring, dossiers Defensie/ProRail/Tilburg</w:t>
      </w:r>
    </w:p>
    <w:p>
      <w:r>
        <w:rPr>
          <w:rFonts w:ascii="Calibri" w:hAnsi="Calibri"/>
          <w:b/>
          <w:color w:val="1F2937"/>
          <w:sz w:val="18"/>
        </w:rPr>
        <w:t xml:space="preserve">[4]  </w:t>
      </w:r>
      <w:r>
        <w:rPr>
          <w:rFonts w:ascii="Calibri" w:hAnsi="Calibri"/>
          <w:i w:val="0"/>
          <w:color w:val="1F2937"/>
          <w:sz w:val="18"/>
        </w:rPr>
        <w:t>REACH Verordening (EG) Nr. 1907/2006, Bijlage XIV — autorisatielijst chroomtrioxide en zuurchromaten</w:t>
      </w:r>
    </w:p>
    <w:p>
      <w:r>
        <w:rPr>
          <w:rFonts w:ascii="Calibri" w:hAnsi="Calibri"/>
          <w:b/>
          <w:color w:val="1F2937"/>
          <w:sz w:val="18"/>
        </w:rPr>
        <w:t xml:space="preserve">[5]  </w:t>
      </w:r>
      <w:r>
        <w:rPr>
          <w:rFonts w:ascii="Calibri" w:hAnsi="Calibri"/>
          <w:i w:val="0"/>
          <w:color w:val="1F2937"/>
          <w:sz w:val="18"/>
        </w:rPr>
        <w:t>Besluit activiteiten leefomgeving (Bal); Wet milieubeheer / Landelijk Afvalbeheerplan — gevaarlijk afvalregime</w:t>
      </w:r>
    </w:p>
    <w:p>
      <w:r>
        <w:rPr>
          <w:rFonts w:ascii="Calibri" w:hAnsi="Calibri"/>
          <w:b/>
          <w:color w:val="1F2937"/>
          <w:sz w:val="18"/>
        </w:rPr>
        <w:t xml:space="preserve">[6]  </w:t>
      </w:r>
      <w:r>
        <w:rPr>
          <w:rFonts w:ascii="Calibri" w:hAnsi="Calibri"/>
          <w:i w:val="0"/>
          <w:color w:val="1F2937"/>
          <w:sz w:val="18"/>
        </w:rPr>
        <w:t>Beheersregime Chroom-6 — Rijkswaterstaat, Defensie, ProRail, Rijksvastgoedbedrijf</w:t>
      </w:r>
    </w:p>
    <w:p>
      <w:r>
        <w:rPr>
          <w:rFonts w:ascii="Calibri" w:hAnsi="Calibri"/>
          <w:b/>
          <w:color w:val="1F2937"/>
          <w:sz w:val="18"/>
        </w:rPr>
        <w:t xml:space="preserve">[7]  </w:t>
      </w:r>
      <w:r>
        <w:rPr>
          <w:rFonts w:ascii="Calibri" w:hAnsi="Calibri"/>
          <w:i w:val="0"/>
          <w:color w:val="1F2937"/>
          <w:sz w:val="18"/>
        </w:rPr>
        <w:t>SER-wettelijke grenswaardenlijst — chroom VI: 1 µg/m³ (8-uurs TGG)</w:t>
      </w:r>
    </w:p>
    <w:p>
      <w:r>
        <w:rPr>
          <w:rFonts w:ascii="Calibri" w:hAnsi="Calibri"/>
          <w:b/>
          <w:color w:val="1F2937"/>
          <w:sz w:val="18"/>
        </w:rPr>
        <w:t xml:space="preserve">[8]  </w:t>
      </w:r>
      <w:r>
        <w:rPr>
          <w:rFonts w:ascii="Calibri" w:hAnsi="Calibri"/>
          <w:i w:val="0"/>
          <w:color w:val="1F2937"/>
          <w:sz w:val="18"/>
        </w:rPr>
        <w:t>NEN-EN 689 (meetstrategie werkplekblootstelling) en NEN-EN 482 (algemene eisen meetprocedures)</w:t>
      </w:r>
    </w:p>
    <w:p>
      <w:r>
        <w:rPr>
          <w:rFonts w:ascii="Calibri" w:hAnsi="Calibri"/>
          <w:b/>
          <w:color w:val="1F2937"/>
          <w:sz w:val="18"/>
        </w:rPr>
        <w:t xml:space="preserve">[9]  </w:t>
      </w:r>
      <w:r>
        <w:rPr>
          <w:rFonts w:ascii="Calibri" w:hAnsi="Calibri"/>
          <w:i w:val="0"/>
          <w:color w:val="1F2937"/>
          <w:sz w:val="18"/>
        </w:rPr>
        <w:t>Richtlijn (EU) 2017/2398 tot wijziging van richtlijn 2004/37/EG (kankerverwekkende en mutagene stoffen op het werk)</w:t>
      </w:r>
    </w:p>
    <w:p>
      <w:r>
        <w:rPr>
          <w:rFonts w:ascii="Calibri" w:hAnsi="Calibri"/>
          <w:b/>
          <w:color w:val="1F2937"/>
          <w:sz w:val="18"/>
        </w:rPr>
        <w:t xml:space="preserve">[10]  </w:t>
      </w:r>
      <w:r>
        <w:rPr>
          <w:rFonts w:ascii="Calibri" w:hAnsi="Calibri"/>
          <w:i w:val="0"/>
          <w:color w:val="1F2937"/>
          <w:sz w:val="18"/>
        </w:rPr>
        <w:t>Arbo-Informatiebladen 67 (kankerverwekkende stoffen), 31 (gezondheidsrisico's gevaarlijke stoffen) en 18 (persoonlijke beschermingsmiddelen)</w:t>
      </w:r>
    </w:p>
    <w:p>
      <w:r>
        <w:rPr>
          <w:rFonts w:ascii="Calibri" w:hAnsi="Calibri"/>
          <w:b/>
          <w:color w:val="1F2937"/>
          <w:sz w:val="18"/>
        </w:rPr>
        <w:t xml:space="preserve">[11]  </w:t>
      </w:r>
      <w:r>
        <w:rPr>
          <w:rFonts w:ascii="Calibri" w:hAnsi="Calibri"/>
          <w:i w:val="0"/>
          <w:color w:val="1F2937"/>
          <w:sz w:val="18"/>
        </w:rPr>
        <w:t>JvG Consultancy — Herzieningsvoorstel 003.056 CrVI v3.0 (H1–H15)</w:t>
      </w:r>
    </w:p>
    <w:p>
      <w:r>
        <w:rPr>
          <w:rFonts w:ascii="Calibri" w:hAnsi="Calibri"/>
          <w:b/>
          <w:color w:val="1F2937"/>
          <w:sz w:val="18"/>
        </w:rPr>
        <w:t xml:space="preserve">[12]  </w:t>
      </w:r>
      <w:r>
        <w:rPr>
          <w:rFonts w:ascii="Calibri" w:hAnsi="Calibri"/>
          <w:i w:val="0"/>
          <w:color w:val="1F2937"/>
          <w:sz w:val="18"/>
        </w:rPr>
        <w:t>JvG Consultancy — Vergelijkingsrapport Asbest 003.059 · Kwik 003.057 · ChroomVI 003.056 (24-08-2026)</w:t>
      </w:r>
    </w:p>
    <w:p>
      <w:r>
        <w:rPr>
          <w:rFonts w:ascii="Calibri" w:hAnsi="Calibri"/>
          <w:b/>
          <w:color w:val="1F2937"/>
          <w:sz w:val="18"/>
        </w:rPr>
        <w:t xml:space="preserve">[13]  </w:t>
      </w:r>
      <w:r>
        <w:rPr>
          <w:rFonts w:ascii="Calibri" w:hAnsi="Calibri"/>
          <w:i w:val="0"/>
          <w:color w:val="1F2937"/>
          <w:sz w:val="18"/>
        </w:rPr>
        <w:t>JvG Consultancy — ChroomVI Tekstueel Verbeteradvies v3.0 (T-01 t/m T-24)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34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Style w:val="TableGrid"/>
      <w:tblW w:type="auto" w:w="0"/>
      <w:tblLook w:firstColumn="1" w:firstRow="1" w:lastColumn="0" w:lastRow="0" w:noHBand="0" w:noVBand="1" w:val="04A0"/>
    </w:tblPr>
    <w:tblGrid>
      <w:gridCol w:w="9638"/>
    </w:tblGrid>
    <w:tr>
      <w:tc>
        <w:tcPr>
          <w:tcW w:type="dxa" w:w="9638"/>
          <w:shd w:val="clear" w:color="auto" w:fill="374151"/>
          <w:tcMar>
            <w:top w:w="60" w:type="dxa"/>
            <w:start w:w="140" w:type="dxa"/>
            <w:bottom w:w="60" w:type="dxa"/>
            <w:end w:w="140" w:type="dxa"/>
          </w:tcMar>
        </w:tcPr>
        <w:p>
          <w:pPr>
            <w:jc w:val="center"/>
          </w:pPr>
          <w:r/>
          <w:r>
            <w:rPr>
              <w:rFonts w:ascii="Calibri" w:hAnsi="Calibri"/>
              <w:color w:val="FFFFFF"/>
              <w:sz w:val="17"/>
            </w:rPr>
            <w:t xml:space="preserve">Compliance Audit 003.056 ChroomVI — Vertrouwelijk  |  v3.0  |  2026-08-25  |  Pagina </w:t>
          </w:r>
          <w:r>
            <w:rPr>
              <w:rFonts w:ascii="Calibri" w:hAnsi="Calibri"/>
              <w:color w:val="FFFFFF"/>
              <w:sz w:val="17"/>
            </w:rPr>
            <w:fldChar w:fldCharType="begin"/>
            <w:instrText xml:space="preserve"> PAGE </w:instrText>
            <w:fldChar w:fldCharType="end"/>
          </w:r>
          <w:r>
            <w:rPr>
              <w:rFonts w:ascii="Calibri" w:hAnsi="Calibri"/>
              <w:color w:val="FFFFFF"/>
              <w:sz w:val="17"/>
            </w:rPr>
            <w:t xml:space="preserve">  |  JvG Consultancy</w:t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Style w:val="TableGrid"/>
      <w:tblW w:type="auto" w:w="0"/>
      <w:tblLayout w:type="fixed"/>
      <w:tblLook w:firstColumn="1" w:firstRow="1" w:lastColumn="0" w:lastRow="0" w:noHBand="0" w:noVBand="1" w:val="04A0"/>
    </w:tblPr>
    <w:tblGrid>
      <w:gridCol w:w="4819"/>
      <w:gridCol w:w="4819"/>
    </w:tblGrid>
    <w:tr>
      <w:tc>
        <w:tcPr>
          <w:tcW w:type="dxa" w:w="7824"/>
          <w:shd w:val="clear" w:color="auto" w:fill="003366"/>
          <w:tcMar>
            <w:top w:w="80" w:type="dxa"/>
            <w:start w:w="140" w:type="dxa"/>
            <w:bottom w:w="80" w:type="dxa"/>
            <w:end w:w="140" w:type="dxa"/>
          </w:tcMar>
        </w:tcPr>
        <w:p>
          <w:r/>
          <w:r>
            <w:rPr>
              <w:rFonts w:ascii="Calibri" w:hAnsi="Calibri"/>
              <w:b/>
              <w:color w:val="FFFFFF"/>
              <w:sz w:val="20"/>
            </w:rPr>
            <w:t>Compliance Audit 003.056 Chromium VI</w:t>
          </w:r>
          <w:r>
            <w:rPr>
              <w:rFonts w:ascii="Calibri" w:hAnsi="Calibri"/>
              <w:color w:val="D1D5DB"/>
              <w:sz w:val="16"/>
            </w:rPr>
            <w:br/>
            <w:t>JvG Consultancy — Safety • Governance • Advisory  |  HSEQ Divisie</w:t>
          </w:r>
        </w:p>
      </w:tc>
      <w:tc>
        <w:tcPr>
          <w:tcW w:type="dxa" w:w="1814"/>
          <w:shd w:val="clear" w:color="auto" w:fill="003366"/>
          <w:tcMar>
            <w:top w:w="80" w:type="dxa"/>
            <w:start w:w="140" w:type="dxa"/>
            <w:bottom w:w="80" w:type="dxa"/>
            <w:end w:w="140" w:type="dxa"/>
          </w:tcMar>
        </w:tcPr>
        <w:p>
          <w:pPr>
            <w:jc w:val="right"/>
          </w:pPr>
          <w:r/>
          <w:r>
            <w:drawing>
              <wp:inline xmlns:a="http://schemas.openxmlformats.org/drawingml/2006/main" xmlns:pic="http://schemas.openxmlformats.org/drawingml/2006/picture">
                <wp:extent cx="720000" cy="6444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jvg-logo-white-medium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20000" cy="6444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Calibri" w:hAnsi="Calibri"/>
      <w:color w:val="1F2937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2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Compliance Audit ChroomVI 003.056 — v3.0</dc:title>
  <dc:subject>Document-based compliance audit 003.056 Chromium VI Exposure Control Procedure (Koole/Wintershall)</dc:subject>
  <dc:creator>JvG Consultancy — HSEQ Divisie</dc:creator>
  <cp:keywords>ChroomVI, Cr(VI), Arbobesluit, REACH, compliance audit, 003.056, Koole, Wintershall</cp:keywords>
  <dc:description>Versie 3.0 — 2026-08-25 — artikelsgewijze toetsing B1-B18, KPI-overzicht, gap-analyse v2.0 naar v3.0</dc:description>
  <cp:lastModifiedBy>JvG Consultancy</cp:lastModifiedBy>
  <cp:revision>3</cp:revision>
  <dcterms:created xsi:type="dcterms:W3CDTF">2026-08-25T06:42:05Z</dcterms:created>
  <dcterms:modified xsi:type="dcterms:W3CDTF">2013-12-23T23:15:00Z</dcterms:modified>
  <cp:category>Compliance Audit</cp:category>
</cp:coreProperties>
</file>