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80"/>
        <w:jc w:val="center"/>
      </w:pPr>
      <w:r>
        <w:drawing>
          <wp:inline xmlns:a="http://schemas.openxmlformats.org/drawingml/2006/main" xmlns:pic="http://schemas.openxmlformats.org/drawingml/2006/picture">
            <wp:extent cx="1440000" cy="1292400"/>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9"/>
                    <a:stretch>
                      <a:fillRect/>
                    </a:stretch>
                  </pic:blipFill>
                  <pic:spPr>
                    <a:xfrm>
                      <a:off x="0" y="0"/>
                      <a:ext cx="1440000" cy="1292400"/>
                    </a:xfrm>
                    <a:prstGeom prst="rect"/>
                  </pic:spPr>
                </pic:pic>
              </a:graphicData>
            </a:graphic>
          </wp:inline>
        </w:drawing>
      </w:r>
    </w:p>
    <w:p>
      <w:pPr>
        <w:jc w:val="center"/>
      </w:pPr>
      <w:r>
        <w:rPr>
          <w:rFonts w:ascii="Calibri" w:hAnsi="Calibri"/>
          <w:b/>
          <w:color w:val="003366"/>
          <w:sz w:val="28"/>
        </w:rPr>
        <w:t>JvG CONSULTANCY</w:t>
      </w:r>
    </w:p>
    <w:p>
      <w:pPr>
        <w:spacing w:after="480"/>
        <w:jc w:val="center"/>
      </w:pPr>
      <w:r>
        <w:rPr>
          <w:rFonts w:ascii="Calibri" w:hAnsi="Calibri"/>
          <w:color w:val="374151"/>
          <w:sz w:val="20"/>
        </w:rPr>
        <w:t>Safety • Governance • Advisory</w:t>
      </w:r>
    </w:p>
    <w:tbl>
      <w:tblPr>
        <w:tblStyle w:val="TableGrid"/>
        <w:tblW w:type="auto" w:w="0"/>
        <w:jc w:val="center"/>
        <w:tblLook w:firstColumn="1" w:firstRow="1" w:lastColumn="0" w:lastRow="0" w:noHBand="0" w:noVBand="1" w:val="04A0"/>
      </w:tblPr>
      <w:tblGrid>
        <w:gridCol w:w="9972"/>
      </w:tblGrid>
      <w:tr>
        <w:tc>
          <w:tcPr>
            <w:tcW w:type="dxa" w:w="9972"/>
            <w:shd w:val="clear" w:color="auto" w:fill="003366"/>
            <w:tcMar>
              <w:top w:w="300" w:type="dxa"/>
              <w:start w:w="300" w:type="dxa"/>
              <w:bottom w:w="300" w:type="dxa"/>
              <w:end w:w="300" w:type="dxa"/>
            </w:tcMar>
          </w:tcPr>
          <w:p>
            <w:pPr>
              <w:jc w:val="center"/>
            </w:pPr>
            <w:r/>
            <w:r>
              <w:rPr>
                <w:rFonts w:ascii="Calibri" w:hAnsi="Calibri"/>
                <w:b/>
                <w:color w:val="FFFFFF"/>
                <w:sz w:val="26"/>
              </w:rPr>
              <w:t>WERKCHECKLISTS</w:t>
            </w:r>
          </w:p>
          <w:p>
            <w:pPr>
              <w:jc w:val="center"/>
            </w:pPr>
            <w:r>
              <w:rPr>
                <w:rFonts w:ascii="Calibri" w:hAnsi="Calibri"/>
                <w:b/>
                <w:color w:val="FFFFFF"/>
                <w:sz w:val="48"/>
              </w:rPr>
              <w:t>Chromium VI Checklists</w:t>
            </w:r>
          </w:p>
          <w:p>
            <w:pPr>
              <w:jc w:val="center"/>
            </w:pPr>
            <w:r>
              <w:rPr>
                <w:rFonts w:ascii="Calibri" w:hAnsi="Calibri"/>
                <w:color w:val="D1D5DB"/>
                <w:sz w:val="22"/>
              </w:rPr>
              <w:t>Herzieningschecklist, juridische compliance checklist en prioriteringsmatrix — Rev A/Rev 1</w:t>
            </w:r>
          </w:p>
        </w:tc>
      </w:tr>
    </w:tbl>
    <w:p/>
    <w:tbl>
      <w:tblPr>
        <w:tblStyle w:val="TableGrid"/>
        <w:tblW w:type="auto" w:w="0"/>
        <w:jc w:val="center"/>
        <w:tblLayout w:type="fixed"/>
        <w:tblLook w:firstColumn="1" w:firstRow="1" w:lastColumn="0" w:lastRow="0" w:noHBand="0" w:noVBand="1" w:val="04A0"/>
      </w:tblPr>
      <w:tblGrid>
        <w:gridCol w:w="4986"/>
        <w:gridCol w:w="4986"/>
      </w:tblGrid>
      <w:tr>
        <w:tc>
          <w:tcPr>
            <w:tcW w:type="dxa" w:w="2835"/>
            <w:tcMar>
              <w:top w:w="60" w:type="dxa"/>
              <w:start w:w="100" w:type="dxa"/>
              <w:bottom w:w="60" w:type="dxa"/>
              <w:end w:w="100" w:type="dxa"/>
            </w:tcMar>
            <w:shd w:val="clear" w:color="auto" w:fill="003366"/>
          </w:tcPr>
          <w:p>
            <w:r/>
            <w:r>
              <w:rPr>
                <w:rFonts w:ascii="Calibri" w:hAnsi="Calibri"/>
                <w:b/>
                <w:color w:val="FFFFFF"/>
                <w:sz w:val="20"/>
              </w:rPr>
              <w:t>Gegeven</w:t>
            </w:r>
          </w:p>
        </w:tc>
        <w:tc>
          <w:tcPr>
            <w:tcW w:type="dxa" w:w="6803"/>
            <w:tcMar>
              <w:top w:w="60" w:type="dxa"/>
              <w:start w:w="100" w:type="dxa"/>
              <w:bottom w:w="60" w:type="dxa"/>
              <w:end w:w="100" w:type="dxa"/>
            </w:tcMar>
            <w:shd w:val="clear" w:color="auto" w:fill="003366"/>
          </w:tcPr>
          <w:p>
            <w:r/>
            <w:r>
              <w:rPr>
                <w:rFonts w:ascii="Calibri" w:hAnsi="Calibri"/>
                <w:b/>
                <w:color w:val="FFFFFF"/>
                <w:sz w:val="20"/>
              </w:rPr>
              <w:t>Waarde</w:t>
            </w:r>
          </w:p>
        </w:tc>
      </w:tr>
      <w:tr>
        <w:tc>
          <w:tcPr>
            <w:tcW w:type="dxa" w:w="2835"/>
            <w:tcMar>
              <w:top w:w="60" w:type="dxa"/>
              <w:start w:w="100" w:type="dxa"/>
              <w:bottom w:w="60" w:type="dxa"/>
              <w:end w:w="100" w:type="dxa"/>
            </w:tcMar>
          </w:tcPr>
          <w:p>
            <w:r/>
            <w:r>
              <w:rPr>
                <w:rFonts w:ascii="Calibri" w:hAnsi="Calibri"/>
                <w:b w:val="0"/>
                <w:color w:val="1F2937"/>
                <w:sz w:val="20"/>
              </w:rPr>
              <w:t>Project</w:t>
            </w:r>
          </w:p>
        </w:tc>
        <w:tc>
          <w:tcPr>
            <w:tcW w:type="dxa" w:w="6803"/>
            <w:tcMar>
              <w:top w:w="60" w:type="dxa"/>
              <w:start w:w="100" w:type="dxa"/>
              <w:bottom w:w="60" w:type="dxa"/>
              <w:end w:w="100" w:type="dxa"/>
            </w:tcMar>
          </w:tcPr>
          <w:p>
            <w:r/>
            <w:r>
              <w:rPr>
                <w:rFonts w:ascii="Calibri" w:hAnsi="Calibri"/>
                <w:b w:val="0"/>
                <w:color w:val="1F2937"/>
                <w:sz w:val="20"/>
              </w:rPr>
              <w:t>2026-audit-koole-chromium-vi (Wintershall / Koole offshore decommissioning)</w:t>
            </w:r>
          </w:p>
        </w:tc>
      </w:tr>
      <w:tr>
        <w:tc>
          <w:tcPr>
            <w:tcW w:type="dxa" w:w="2835"/>
            <w:tcMar>
              <w:top w:w="60" w:type="dxa"/>
              <w:start w:w="100" w:type="dxa"/>
              <w:bottom w:w="60" w:type="dxa"/>
              <w:end w:w="100" w:type="dxa"/>
            </w:tcMar>
            <w:shd w:val="clear" w:color="auto" w:fill="F8F9FA"/>
          </w:tcPr>
          <w:p>
            <w:r/>
            <w:r>
              <w:rPr>
                <w:rFonts w:ascii="Calibri" w:hAnsi="Calibri"/>
                <w:b w:val="0"/>
                <w:color w:val="1F2937"/>
                <w:sz w:val="20"/>
              </w:rPr>
              <w:t>Doel</w:t>
            </w:r>
          </w:p>
        </w:tc>
        <w:tc>
          <w:tcPr>
            <w:tcW w:type="dxa" w:w="6803"/>
            <w:tcMar>
              <w:top w:w="60" w:type="dxa"/>
              <w:start w:w="100" w:type="dxa"/>
              <w:bottom w:w="60" w:type="dxa"/>
              <w:end w:w="100" w:type="dxa"/>
            </w:tcMar>
            <w:shd w:val="clear" w:color="auto" w:fill="F8F9FA"/>
          </w:tcPr>
          <w:p>
            <w:r/>
            <w:r>
              <w:rPr>
                <w:rFonts w:ascii="Calibri" w:hAnsi="Calibri"/>
                <w:b w:val="0"/>
                <w:color w:val="1F2937"/>
                <w:sz w:val="20"/>
              </w:rPr>
              <w:t>Ondersteuning van de redacteur bij herziening van 003.056 Chromium VI Exposure Control Procedure</w:t>
            </w:r>
          </w:p>
        </w:tc>
      </w:tr>
      <w:tr>
        <w:tc>
          <w:tcPr>
            <w:tcW w:type="dxa" w:w="2835"/>
            <w:tcMar>
              <w:top w:w="60" w:type="dxa"/>
              <w:start w:w="100" w:type="dxa"/>
              <w:bottom w:w="60" w:type="dxa"/>
              <w:end w:w="100" w:type="dxa"/>
            </w:tcMar>
          </w:tcPr>
          <w:p>
            <w:r/>
            <w:r>
              <w:rPr>
                <w:rFonts w:ascii="Calibri" w:hAnsi="Calibri"/>
                <w:b w:val="0"/>
                <w:color w:val="1F2937"/>
                <w:sz w:val="20"/>
              </w:rPr>
              <w:t>Basis</w:t>
            </w:r>
          </w:p>
        </w:tc>
        <w:tc>
          <w:tcPr>
            <w:tcW w:type="dxa" w:w="6803"/>
            <w:tcMar>
              <w:top w:w="60" w:type="dxa"/>
              <w:start w:w="100" w:type="dxa"/>
              <w:bottom w:w="60" w:type="dxa"/>
              <w:end w:w="100" w:type="dxa"/>
            </w:tcMar>
          </w:tcPr>
          <w:p>
            <w:r/>
            <w:r>
              <w:rPr>
                <w:rFonts w:ascii="Calibri" w:hAnsi="Calibri"/>
                <w:b w:val="0"/>
                <w:color w:val="1F2937"/>
                <w:sz w:val="20"/>
              </w:rPr>
              <w:t>Compliance Audit v1.0 (24-08-2026) — bevindingen B1–B18, voorstellen H1–H12</w:t>
            </w:r>
          </w:p>
        </w:tc>
      </w:tr>
      <w:tr>
        <w:tc>
          <w:tcPr>
            <w:tcW w:type="dxa" w:w="2835"/>
            <w:tcMar>
              <w:top w:w="60" w:type="dxa"/>
              <w:start w:w="100" w:type="dxa"/>
              <w:bottom w:w="60" w:type="dxa"/>
              <w:end w:w="100" w:type="dxa"/>
            </w:tcMar>
            <w:shd w:val="clear" w:color="auto" w:fill="F8F9FA"/>
          </w:tcPr>
          <w:p>
            <w:r/>
            <w:r>
              <w:rPr>
                <w:rFonts w:ascii="Calibri" w:hAnsi="Calibri"/>
                <w:b w:val="0"/>
                <w:color w:val="1F2937"/>
                <w:sz w:val="20"/>
              </w:rPr>
              <w:t>Eigenaar</w:t>
            </w:r>
          </w:p>
        </w:tc>
        <w:tc>
          <w:tcPr>
            <w:tcW w:type="dxa" w:w="6803"/>
            <w:tcMar>
              <w:top w:w="60" w:type="dxa"/>
              <w:start w:w="100" w:type="dxa"/>
              <w:bottom w:w="60" w:type="dxa"/>
              <w:end w:w="100" w:type="dxa"/>
            </w:tcMar>
            <w:shd w:val="clear" w:color="auto" w:fill="F8F9FA"/>
          </w:tcPr>
          <w:p>
            <w:r/>
            <w:r>
              <w:rPr>
                <w:rFonts w:ascii="Calibri" w:hAnsi="Calibri"/>
                <w:b w:val="0"/>
                <w:color w:val="1F2937"/>
                <w:sz w:val="20"/>
              </w:rPr>
              <w:t>QHSE Manager KOO B.V. / redacteur brondocument</w:t>
            </w:r>
          </w:p>
        </w:tc>
      </w:tr>
      <w:tr>
        <w:tc>
          <w:tcPr>
            <w:tcW w:type="dxa" w:w="2835"/>
            <w:tcMar>
              <w:top w:w="60" w:type="dxa"/>
              <w:start w:w="100" w:type="dxa"/>
              <w:bottom w:w="60" w:type="dxa"/>
              <w:end w:w="100" w:type="dxa"/>
            </w:tcMar>
          </w:tcPr>
          <w:p>
            <w:r/>
            <w:r>
              <w:rPr>
                <w:rFonts w:ascii="Calibri" w:hAnsi="Calibri"/>
                <w:b w:val="0"/>
                <w:color w:val="1F2937"/>
                <w:sz w:val="20"/>
              </w:rPr>
              <w:t>Datum</w:t>
            </w:r>
          </w:p>
        </w:tc>
        <w:tc>
          <w:tcPr>
            <w:tcW w:type="dxa" w:w="6803"/>
            <w:tcMar>
              <w:top w:w="60" w:type="dxa"/>
              <w:start w:w="100" w:type="dxa"/>
              <w:bottom w:w="60" w:type="dxa"/>
              <w:end w:w="100" w:type="dxa"/>
            </w:tcMar>
          </w:tcPr>
          <w:p>
            <w:r/>
            <w:r>
              <w:rPr>
                <w:rFonts w:ascii="Calibri" w:hAnsi="Calibri"/>
                <w:b w:val="0"/>
                <w:color w:val="1F2937"/>
                <w:sz w:val="20"/>
              </w:rPr>
              <w:t>24 augustus 2026</w:t>
            </w:r>
          </w:p>
        </w:tc>
      </w:tr>
      <w:tr>
        <w:tc>
          <w:tcPr>
            <w:tcW w:type="dxa" w:w="2835"/>
            <w:tcMar>
              <w:top w:w="60" w:type="dxa"/>
              <w:start w:w="100" w:type="dxa"/>
              <w:bottom w:w="60" w:type="dxa"/>
              <w:end w:w="100" w:type="dxa"/>
            </w:tcMar>
            <w:shd w:val="clear" w:color="auto" w:fill="F8F9FA"/>
          </w:tcPr>
          <w:p>
            <w:r/>
            <w:r>
              <w:rPr>
                <w:rFonts w:ascii="Calibri" w:hAnsi="Calibri"/>
                <w:b w:val="0"/>
                <w:color w:val="1F2937"/>
                <w:sz w:val="20"/>
              </w:rPr>
              <w:t>Versie / status</w:t>
            </w:r>
          </w:p>
        </w:tc>
        <w:tc>
          <w:tcPr>
            <w:tcW w:type="dxa" w:w="6803"/>
            <w:tcMar>
              <w:top w:w="60" w:type="dxa"/>
              <w:start w:w="100" w:type="dxa"/>
              <w:bottom w:w="60" w:type="dxa"/>
              <w:end w:w="100" w:type="dxa"/>
            </w:tcMar>
            <w:shd w:val="clear" w:color="auto" w:fill="F8F9FA"/>
          </w:tcPr>
          <w:p>
            <w:r/>
            <w:r>
              <w:rPr>
                <w:rFonts w:ascii="Calibri" w:hAnsi="Calibri"/>
                <w:b w:val="0"/>
                <w:color w:val="1F2937"/>
                <w:sz w:val="20"/>
              </w:rPr>
              <w:t>v1.0 — Definitief</w:t>
            </w:r>
          </w:p>
        </w:tc>
      </w:tr>
      <w:tr>
        <w:tc>
          <w:tcPr>
            <w:tcW w:type="dxa" w:w="2835"/>
            <w:tcMar>
              <w:top w:w="60" w:type="dxa"/>
              <w:start w:w="100" w:type="dxa"/>
              <w:bottom w:w="60" w:type="dxa"/>
              <w:end w:w="100" w:type="dxa"/>
            </w:tcMar>
          </w:tcPr>
          <w:p>
            <w:r/>
            <w:r>
              <w:rPr>
                <w:rFonts w:ascii="Calibri" w:hAnsi="Calibri"/>
                <w:b w:val="0"/>
                <w:color w:val="1F2937"/>
                <w:sz w:val="20"/>
              </w:rPr>
              <w:t>Classificatie</w:t>
            </w:r>
          </w:p>
        </w:tc>
        <w:tc>
          <w:tcPr>
            <w:tcW w:type="dxa" w:w="6803"/>
            <w:tcMar>
              <w:top w:w="60" w:type="dxa"/>
              <w:start w:w="100" w:type="dxa"/>
              <w:bottom w:w="60" w:type="dxa"/>
              <w:end w:w="100" w:type="dxa"/>
            </w:tcMar>
          </w:tcPr>
          <w:p>
            <w:r/>
            <w:r>
              <w:rPr>
                <w:rFonts w:ascii="Calibri" w:hAnsi="Calibri"/>
                <w:b w:val="0"/>
                <w:color w:val="1F2937"/>
                <w:sz w:val="20"/>
              </w:rPr>
              <w:t>Vertrouwelijk</w:t>
            </w:r>
          </w:p>
        </w:tc>
      </w:tr>
    </w:tbl>
    <w:p/>
    <w:p>
      <w:pPr>
        <w:jc w:val="center"/>
      </w:pPr>
      <w:r>
        <w:rPr>
          <w:rFonts w:ascii="Calibri" w:hAnsi="Calibri"/>
          <w:i/>
          <w:color w:val="374151"/>
          <w:sz w:val="17"/>
        </w:rPr>
        <w:t>Vertrouwelijk — uitsluitend bestemd voor opdrachtgever en projectorganisatie</w:t>
      </w:r>
    </w:p>
    <w:p>
      <w:r>
        <w:br w:type="page"/>
      </w:r>
    </w:p>
    <w:p>
      <w:pPr>
        <w:spacing w:before="360" w:after="160"/>
        <w:pBdr>
          <w:bottom w:val="single" w:sz="12" w:space="4" w:color="003366"/>
        </w:pBdr>
      </w:pPr>
      <w:r>
        <w:rPr>
          <w:rFonts w:ascii="Calibri" w:hAnsi="Calibri"/>
          <w:b/>
          <w:color w:val="003366"/>
          <w:sz w:val="32"/>
        </w:rPr>
        <w:t>Deel 1 — Herzieningschecklist voor de redacteur (H1–H12)</w:t>
      </w:r>
    </w:p>
    <w:p>
      <w:r>
        <w:rPr>
          <w:rFonts w:ascii="Calibri" w:hAnsi="Calibri"/>
          <w:i w:val="0"/>
          <w:color w:val="1F2937"/>
          <w:sz w:val="22"/>
        </w:rPr>
        <w:t>Doorloop alle voorstellen bij de eerstvolgende herziening. H1–H5 (P1) zijn wettelijk verplicht en moeten vóór projectuitvoering zijn opgenomen. Vink af en noteer de sectie in het brondocument waar het voorstel is verwerkt.</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c>
          <w:tcPr>
            <w:tcW w:type="dxa" w:w="567"/>
            <w:tcMar>
              <w:top w:w="60" w:type="dxa"/>
              <w:start w:w="100" w:type="dxa"/>
              <w:bottom w:w="60" w:type="dxa"/>
              <w:end w:w="100" w:type="dxa"/>
            </w:tcMar>
            <w:shd w:val="clear" w:color="auto" w:fill="003366"/>
          </w:tcPr>
          <w:p>
            <w:r/>
            <w:r>
              <w:rPr>
                <w:rFonts w:ascii="Calibri" w:hAnsi="Calibri"/>
                <w:b/>
                <w:color w:val="FFFFFF"/>
                <w:sz w:val="17"/>
              </w:rPr>
              <w:t>#</w:t>
            </w:r>
          </w:p>
        </w:tc>
        <w:tc>
          <w:tcPr>
            <w:tcW w:type="dxa" w:w="794"/>
            <w:tcMar>
              <w:top w:w="60" w:type="dxa"/>
              <w:start w:w="100" w:type="dxa"/>
              <w:bottom w:w="60" w:type="dxa"/>
              <w:end w:w="100" w:type="dxa"/>
            </w:tcMar>
            <w:shd w:val="clear" w:color="auto" w:fill="003366"/>
          </w:tcPr>
          <w:p>
            <w:r/>
            <w:r>
              <w:rPr>
                <w:rFonts w:ascii="Calibri" w:hAnsi="Calibri"/>
                <w:b/>
                <w:color w:val="FFFFFF"/>
                <w:sz w:val="17"/>
              </w:rPr>
              <w:t>Prio</w:t>
            </w:r>
          </w:p>
        </w:tc>
        <w:tc>
          <w:tcPr>
            <w:tcW w:type="dxa" w:w="5216"/>
            <w:tcMar>
              <w:top w:w="60" w:type="dxa"/>
              <w:start w:w="100" w:type="dxa"/>
              <w:bottom w:w="60" w:type="dxa"/>
              <w:end w:w="100" w:type="dxa"/>
            </w:tcMar>
            <w:shd w:val="clear" w:color="auto" w:fill="003366"/>
          </w:tcPr>
          <w:p>
            <w:r/>
            <w:r>
              <w:rPr>
                <w:rFonts w:ascii="Calibri" w:hAnsi="Calibri"/>
                <w:b/>
                <w:color w:val="FFFFFF"/>
                <w:sz w:val="17"/>
              </w:rPr>
              <w:t>Actie</w:t>
            </w:r>
          </w:p>
        </w:tc>
        <w:tc>
          <w:tcPr>
            <w:tcW w:type="dxa" w:w="1247"/>
            <w:tcMar>
              <w:top w:w="60" w:type="dxa"/>
              <w:start w:w="100" w:type="dxa"/>
              <w:bottom w:w="60" w:type="dxa"/>
              <w:end w:w="100" w:type="dxa"/>
            </w:tcMar>
            <w:shd w:val="clear" w:color="auto" w:fill="003366"/>
          </w:tcPr>
          <w:p>
            <w:r/>
            <w:r>
              <w:rPr>
                <w:rFonts w:ascii="Calibri" w:hAnsi="Calibri"/>
                <w:b/>
                <w:color w:val="FFFFFF"/>
                <w:sz w:val="17"/>
              </w:rPr>
              <w:t>Verwerkt in §</w:t>
            </w:r>
          </w:p>
        </w:tc>
        <w:tc>
          <w:tcPr>
            <w:tcW w:type="dxa" w:w="1020"/>
            <w:tcMar>
              <w:top w:w="60" w:type="dxa"/>
              <w:start w:w="100" w:type="dxa"/>
              <w:bottom w:w="60" w:type="dxa"/>
              <w:end w:w="100" w:type="dxa"/>
            </w:tcMar>
            <w:shd w:val="clear" w:color="auto" w:fill="003366"/>
          </w:tcPr>
          <w:p>
            <w:r/>
            <w:r>
              <w:rPr>
                <w:rFonts w:ascii="Calibri" w:hAnsi="Calibri"/>
                <w:b/>
                <w:color w:val="FFFFFF"/>
                <w:sz w:val="17"/>
              </w:rPr>
              <w:t>Review OK</w:t>
            </w:r>
          </w:p>
        </w:tc>
        <w:tc>
          <w:tcPr>
            <w:tcW w:type="dxa" w:w="907"/>
            <w:tcMar>
              <w:top w:w="60" w:type="dxa"/>
              <w:start w:w="100" w:type="dxa"/>
              <w:bottom w:w="60" w:type="dxa"/>
              <w:end w:w="100" w:type="dxa"/>
            </w:tcMar>
            <w:shd w:val="clear" w:color="auto" w:fill="003366"/>
          </w:tcPr>
          <w:p>
            <w:r/>
            <w:r>
              <w:rPr>
                <w:rFonts w:ascii="Calibri" w:hAnsi="Calibri"/>
                <w:b/>
                <w:color w:val="FFFFFF"/>
                <w:sz w:val="17"/>
              </w:rPr>
              <w:t>Datum</w:t>
            </w:r>
          </w:p>
        </w:tc>
      </w:tr>
      <w:tr>
        <w:tc>
          <w:tcPr>
            <w:tcW w:type="dxa" w:w="567"/>
            <w:tcMar>
              <w:top w:w="60" w:type="dxa"/>
              <w:start w:w="100" w:type="dxa"/>
              <w:bottom w:w="60" w:type="dxa"/>
              <w:end w:w="100" w:type="dxa"/>
            </w:tcMar>
          </w:tcPr>
          <w:p>
            <w:r/>
            <w:r>
              <w:rPr>
                <w:rFonts w:ascii="Calibri" w:hAnsi="Calibri"/>
                <w:b w:val="0"/>
                <w:color w:val="1F2937"/>
                <w:sz w:val="17"/>
              </w:rPr>
              <w:t>H1</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5216"/>
            <w:tcMar>
              <w:top w:w="60" w:type="dxa"/>
              <w:start w:w="100" w:type="dxa"/>
              <w:bottom w:w="60" w:type="dxa"/>
              <w:end w:w="100" w:type="dxa"/>
            </w:tcMar>
          </w:tcPr>
          <w:p>
            <w:r/>
            <w:r>
              <w:rPr>
                <w:rFonts w:ascii="Calibri" w:hAnsi="Calibri"/>
                <w:b w:val="0"/>
                <w:color w:val="1F2937"/>
                <w:sz w:val="17"/>
              </w:rPr>
              <w:t>Voeg een nieuw hoofdstuk “Exposure Assessment &amp; Monitoring” toe: meetstrategie conform NEN-EN 689 (baseline- en taakmetingen vóór aanvang, bemonsteringsduur conform NEN-EN 482, toetsing aan 1 µg/m³, hermeet bij overschrijding of wijziging werkwijze, verantwoordelijke: QHSE Manager).</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H2</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Voeg een paragraaf “Health Surveillance” toe: recht op (P)AGO voor alle aan Cr(VI) blootgestelde (inclusief mogelijkerwijs blootgestelde) werknemers vóór aanvang en periodiek; rol bedrijfsarts opnemen in §3.</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567"/>
            <w:tcMar>
              <w:top w:w="60" w:type="dxa"/>
              <w:start w:w="100" w:type="dxa"/>
              <w:bottom w:w="60" w:type="dxa"/>
              <w:end w:w="100" w:type="dxa"/>
            </w:tcMar>
          </w:tcPr>
          <w:p>
            <w:r/>
            <w:r>
              <w:rPr>
                <w:rFonts w:ascii="Calibri" w:hAnsi="Calibri"/>
                <w:b w:val="0"/>
                <w:color w:val="1F2937"/>
                <w:sz w:val="17"/>
              </w:rPr>
              <w:t>H3</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5216"/>
            <w:tcMar>
              <w:top w:w="60" w:type="dxa"/>
              <w:start w:w="100" w:type="dxa"/>
              <w:bottom w:w="60" w:type="dxa"/>
              <w:end w:w="100" w:type="dxa"/>
            </w:tcMar>
          </w:tcPr>
          <w:p>
            <w:r/>
            <w:r>
              <w:rPr>
                <w:rFonts w:ascii="Calibri" w:hAnsi="Calibri"/>
                <w:b w:val="0"/>
                <w:color w:val="1F2937"/>
                <w:sz w:val="17"/>
              </w:rPr>
              <w:t>Leg een bewaar- en overdrachtsregeling vast: blootstellingsregistraties, meetlogboeken en de lijst van H4 gedurende 40 jaar na laatste blootstelling bewaren (ook na projecteinde en bij uittocht van personeel).</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H4</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Voeg een registratieparagraaf “Exposure Register” toe: lijst van (mogelijk) blootgestelde werknemers en subcontractors met aard, mate en duur van blootstelling; inzage- en afschriftrecht; eigenaar: QHSE Manager.</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567"/>
            <w:tcMar>
              <w:top w:w="60" w:type="dxa"/>
              <w:start w:w="100" w:type="dxa"/>
              <w:bottom w:w="60" w:type="dxa"/>
              <w:end w:w="100" w:type="dxa"/>
            </w:tcMar>
          </w:tcPr>
          <w:p>
            <w:r/>
            <w:r>
              <w:rPr>
                <w:rFonts w:ascii="Calibri" w:hAnsi="Calibri"/>
                <w:b w:val="0"/>
                <w:color w:val="1F2937"/>
                <w:sz w:val="17"/>
              </w:rPr>
              <w:t>H5</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5216"/>
            <w:tcMar>
              <w:top w:w="60" w:type="dxa"/>
              <w:start w:w="100" w:type="dxa"/>
              <w:bottom w:w="60" w:type="dxa"/>
              <w:end w:w="100" w:type="dxa"/>
            </w:tcMar>
          </w:tcPr>
          <w:p>
            <w:r/>
            <w:r>
              <w:rPr>
                <w:rFonts w:ascii="Calibri" w:hAnsi="Calibri"/>
                <w:b w:val="0"/>
                <w:color w:val="1F2937"/>
                <w:sz w:val="17"/>
              </w:rPr>
              <w:t>Maak de RI&amp;E-koppeling expliciet: verwijzing naar en eis dat de project-RI&amp;E de elementen aard/mate/duur, hoeveelheden, aantal betrokkenen en arbeidsvorm bevat; documenteer de vervangings-/bronmaatregelafweging (waaronder de keuze koude vs. thermische snijtechnieken) met onderbouwing.</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H6</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Breid §4.3.3/§4.5.2 uit met een calamiteiten-/abnormale-blootstellingsprotocol: onmiddellijke informatieverplichting aan betrokken werknemers, onderzoek naar oorzaak, en informering van OR/PVT (of offshore PVT-equivalent).</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567"/>
            <w:tcMar>
              <w:top w:w="60" w:type="dxa"/>
              <w:start w:w="100" w:type="dxa"/>
              <w:bottom w:w="60" w:type="dxa"/>
              <w:end w:w="100" w:type="dxa"/>
            </w:tcMar>
          </w:tcPr>
          <w:p>
            <w:r/>
            <w:r>
              <w:rPr>
                <w:rFonts w:ascii="Calibri" w:hAnsi="Calibri"/>
                <w:b w:val="0"/>
                <w:color w:val="1F2937"/>
                <w:sz w:val="17"/>
              </w:rPr>
              <w:t>H7</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tcPr>
          <w:p>
            <w:r/>
            <w:r>
              <w:rPr>
                <w:rFonts w:ascii="Calibri" w:hAnsi="Calibri"/>
                <w:b w:val="0"/>
                <w:color w:val="1F2937"/>
                <w:sz w:val="17"/>
              </w:rPr>
              <w:t>Neem in §6 op: REACH Bijlage XIV (autorisatie Cr(VI)-verbindingen) met afbakening wanneer dit voor KOO-werkzaamheden geldt (gebruik van Cr(VI)-houdende producten).</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H8</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Werk de afvalparagraaf uit: afvalstroomklassering van Cr(VI)-gecontamineerd afval (PBM, filters, reinigingsresten), verpakkings-/etiketteringseisen, bewijslast (afgiftebewijzen) en verantwoordelijke; incl. zeetransport vanaf platform.</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567"/>
            <w:tcMar>
              <w:top w:w="60" w:type="dxa"/>
              <w:start w:w="100" w:type="dxa"/>
              <w:bottom w:w="60" w:type="dxa"/>
              <w:end w:w="100" w:type="dxa"/>
            </w:tcMar>
          </w:tcPr>
          <w:p>
            <w:r/>
            <w:r>
              <w:rPr>
                <w:rFonts w:ascii="Calibri" w:hAnsi="Calibri"/>
                <w:b w:val="0"/>
                <w:color w:val="1F2937"/>
                <w:sz w:val="17"/>
              </w:rPr>
              <w:t>H9</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tcPr>
          <w:p>
            <w:r/>
            <w:r>
              <w:rPr>
                <w:rFonts w:ascii="Calibri" w:hAnsi="Calibri"/>
                <w:b w:val="0"/>
                <w:color w:val="1F2937"/>
                <w:sz w:val="17"/>
              </w:rPr>
              <w:t>Vul §6 aan met de AI-bladen: AI-blad 67 (kankerverwekkende stoffen), AI-blad 31 (gezondheidsrisico's gevaarlijke stoffen), AI-blad 18 (PBM) en AI-blad 77 (chroom-6) als toetsingskader voor revisies.</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H10</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Vertaal het Beheersregime Chroom-6 naar een concrete beheersmaatregelenmatrix per activiteit (hot cutting, welding, cleaning) of verwijs per subparagraaf naar de betreffende regime-onderdelen.</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567"/>
            <w:tcMar>
              <w:top w:w="60" w:type="dxa"/>
              <w:start w:w="100" w:type="dxa"/>
              <w:bottom w:w="60" w:type="dxa"/>
              <w:end w:w="100" w:type="dxa"/>
            </w:tcMar>
          </w:tcPr>
          <w:p>
            <w:r/>
            <w:r>
              <w:rPr>
                <w:rFonts w:ascii="Calibri" w:hAnsi="Calibri"/>
                <w:b w:val="0"/>
                <w:color w:val="1F2937"/>
                <w:sz w:val="17"/>
              </w:rPr>
              <w:t>H11</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tcPr>
          <w:p>
            <w:r/>
            <w:r>
              <w:rPr>
                <w:rFonts w:ascii="Calibri" w:hAnsi="Calibri"/>
                <w:b w:val="0"/>
                <w:color w:val="1F2937"/>
                <w:sz w:val="17"/>
              </w:rPr>
              <w:t>Veranker de volledige maatregelenhiërarchie (5M/MAC) incl. verplichte documentatie van substitutie-/bronmaatregelafweging en organisatorische maatregelen (taakroulatie, blootstellingstijdbeperking) in §4.5.</w:t>
            </w:r>
          </w:p>
        </w:tc>
        <w:tc>
          <w:tcPr>
            <w:tcW w:type="dxa" w:w="1247"/>
            <w:tcMar>
              <w:top w:w="60" w:type="dxa"/>
              <w:start w:w="100" w:type="dxa"/>
              <w:bottom w:w="60" w:type="dxa"/>
              <w:end w:w="100" w:type="dxa"/>
            </w:tcMar>
          </w:tcPr>
          <w:p>
            <w:r/>
            <w:r>
              <w:rPr>
                <w:rFonts w:ascii="Calibri" w:hAnsi="Calibri"/>
                <w:b w:val="0"/>
                <w:color w:val="1F2937"/>
                <w:sz w:val="17"/>
              </w:rPr>
              <w:t>☐</w:t>
            </w:r>
          </w:p>
        </w:tc>
        <w:tc>
          <w:tcPr>
            <w:tcW w:type="dxa" w:w="1020"/>
            <w:tcMar>
              <w:top w:w="60" w:type="dxa"/>
              <w:start w:w="100" w:type="dxa"/>
              <w:bottom w:w="60" w:type="dxa"/>
              <w:end w:w="100" w:type="dxa"/>
            </w:tcMar>
          </w:tcPr>
          <w:p>
            <w:r/>
            <w:r>
              <w:rPr>
                <w:rFonts w:ascii="Calibri" w:hAnsi="Calibri"/>
                <w:b w:val="0"/>
                <w:color w:val="1F2937"/>
                <w:sz w:val="17"/>
              </w:rPr>
              <w:t>☐</w:t>
            </w:r>
          </w:p>
        </w:tc>
        <w:tc>
          <w:tcPr>
            <w:tcW w:type="dxa" w:w="907"/>
            <w:tcMar>
              <w:top w:w="60" w:type="dxa"/>
              <w:start w:w="100" w:type="dxa"/>
              <w:bottom w:w="60" w:type="dxa"/>
              <w:end w:w="100" w:type="dxa"/>
            </w:tcMar>
          </w:tcPr>
          <w:p>
            <w:r/>
            <w:r>
              <w:rPr>
                <w:rFonts w:ascii="Calibri" w:hAnsi="Calibri"/>
                <w:b w:val="0"/>
                <w:color w:val="1F2937"/>
                <w:sz w:val="17"/>
              </w:rPr>
              <w:t>☐</w:t>
            </w: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H12</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5216"/>
            <w:tcMar>
              <w:top w:w="60" w:type="dxa"/>
              <w:start w:w="100" w:type="dxa"/>
              <w:bottom w:w="60" w:type="dxa"/>
              <w:end w:w="100" w:type="dxa"/>
            </w:tcMar>
            <w:shd w:val="clear" w:color="auto" w:fill="F8F9FA"/>
          </w:tcPr>
          <w:p>
            <w:r/>
            <w:r>
              <w:rPr>
                <w:rFonts w:ascii="Calibri" w:hAnsi="Calibri"/>
                <w:b w:val="0"/>
                <w:color w:val="1F2937"/>
                <w:sz w:val="17"/>
              </w:rPr>
              <w:t>Los de versie-inconsistentie op: één consistente revisie-aanduiding (Rev A of Rev 1), gevulde revision log (section + description of change), consistente issue-datum in voettekst, datum/versie bij interne referenties (“Hoondert Study”).</w:t>
            </w:r>
          </w:p>
        </w:tc>
        <w:tc>
          <w:tcPr>
            <w:tcW w:type="dxa" w:w="1247"/>
            <w:tcMar>
              <w:top w:w="60" w:type="dxa"/>
              <w:start w:w="100" w:type="dxa"/>
              <w:bottom w:w="60" w:type="dxa"/>
              <w:end w:w="100" w:type="dxa"/>
            </w:tcMar>
            <w:shd w:val="clear" w:color="auto" w:fill="F8F9FA"/>
          </w:tcPr>
          <w:p>
            <w:r/>
            <w:r>
              <w:rPr>
                <w:rFonts w:ascii="Calibri" w:hAnsi="Calibri"/>
                <w:b w:val="0"/>
                <w:color w:val="1F2937"/>
                <w:sz w:val="17"/>
              </w:rPr>
              <w:t>☐</w:t>
            </w:r>
          </w:p>
        </w:tc>
        <w:tc>
          <w:tcPr>
            <w:tcW w:type="dxa" w:w="1020"/>
            <w:tcMar>
              <w:top w:w="60" w:type="dxa"/>
              <w:start w:w="100" w:type="dxa"/>
              <w:bottom w:w="60" w:type="dxa"/>
              <w:end w:w="100" w:type="dxa"/>
            </w:tcMar>
            <w:shd w:val="clear" w:color="auto" w:fill="F8F9FA"/>
          </w:tcPr>
          <w:p>
            <w:r/>
            <w:r>
              <w:rPr>
                <w:rFonts w:ascii="Calibri" w:hAnsi="Calibri"/>
                <w:b w:val="0"/>
                <w:color w:val="1F2937"/>
                <w:sz w:val="17"/>
              </w:rPr>
              <w:t>☐</w:t>
            </w:r>
          </w:p>
        </w:tc>
        <w:tc>
          <w:tcPr>
            <w:tcW w:type="dxa" w:w="907"/>
            <w:tcMar>
              <w:top w:w="60" w:type="dxa"/>
              <w:start w:w="100" w:type="dxa"/>
              <w:bottom w:w="60" w:type="dxa"/>
              <w:end w:w="100" w:type="dxa"/>
            </w:tcMar>
            <w:shd w:val="clear" w:color="auto" w:fill="F8F9FA"/>
          </w:tcPr>
          <w:p>
            <w:r/>
            <w:r>
              <w:rPr>
                <w:rFonts w:ascii="Calibri" w:hAnsi="Calibri"/>
                <w:b w:val="0"/>
                <w:color w:val="1F2937"/>
                <w:sz w:val="17"/>
              </w:rPr>
              <w:t>☐</w:t>
            </w:r>
          </w:p>
        </w:tc>
      </w:tr>
    </w:tbl>
    <w:p/>
    <w:p>
      <w:r>
        <w:rPr>
          <w:rFonts w:ascii="Calibri" w:hAnsi="Calibri"/>
          <w:i/>
          <w:color w:val="1F2937"/>
          <w:sz w:val="18"/>
        </w:rPr>
        <w:t>Afronding: pas na afronding van H1–H12 de revision log aan (section + description of change) en verstijg de revisiestatus conform H12.</w:t>
      </w:r>
    </w:p>
    <w:p>
      <w:r>
        <w:br w:type="page"/>
      </w:r>
    </w:p>
    <w:p>
      <w:pPr>
        <w:spacing w:before="360" w:after="160"/>
        <w:pBdr>
          <w:bottom w:val="single" w:sz="12" w:space="4" w:color="003366"/>
        </w:pBdr>
      </w:pPr>
      <w:r>
        <w:rPr>
          <w:rFonts w:ascii="Calibri" w:hAnsi="Calibri"/>
          <w:b/>
          <w:color w:val="003366"/>
          <w:sz w:val="32"/>
        </w:rPr>
        <w:t>Deel 2 — Juridische compliance checklist</w:t>
      </w:r>
    </w:p>
    <w:p>
      <w:r>
        <w:rPr>
          <w:rFonts w:ascii="Calibri" w:hAnsi="Calibri"/>
          <w:i w:val="0"/>
          <w:color w:val="1F2937"/>
          <w:sz w:val="22"/>
        </w:rPr>
        <w:t>Toetsingskader voor de herziene procedure. Elke regel moet aantoonbaar zijn in de proceduretekst, de project-RI&amp;E of een gekoppeld document.</w:t>
      </w:r>
    </w:p>
    <w:tbl>
      <w:tblPr>
        <w:tblStyle w:val="TableGrid"/>
        <w:tblW w:type="auto" w:w="0"/>
        <w:jc w:val="center"/>
        <w:tblLayout w:type="fixed"/>
        <w:tblLook w:firstColumn="1" w:firstRow="1" w:lastColumn="0" w:lastRow="0" w:noHBand="0" w:noVBand="1" w:val="04A0"/>
      </w:tblPr>
      <w:tblGrid>
        <w:gridCol w:w="1662"/>
        <w:gridCol w:w="1662"/>
        <w:gridCol w:w="1662"/>
        <w:gridCol w:w="1662"/>
        <w:gridCol w:w="1662"/>
        <w:gridCol w:w="1662"/>
      </w:tblGrid>
      <w:tr>
        <w:tc>
          <w:tcPr>
            <w:tcW w:type="dxa" w:w="567"/>
            <w:tcMar>
              <w:top w:w="60" w:type="dxa"/>
              <w:start w:w="100" w:type="dxa"/>
              <w:bottom w:w="60" w:type="dxa"/>
              <w:end w:w="100" w:type="dxa"/>
            </w:tcMar>
            <w:shd w:val="clear" w:color="auto" w:fill="003366"/>
          </w:tcPr>
          <w:p>
            <w:r/>
            <w:r>
              <w:rPr>
                <w:rFonts w:ascii="Calibri" w:hAnsi="Calibri"/>
                <w:b/>
                <w:color w:val="FFFFFF"/>
                <w:sz w:val="17"/>
              </w:rPr>
              <w:t>#</w:t>
            </w:r>
          </w:p>
        </w:tc>
        <w:tc>
          <w:tcPr>
            <w:tcW w:type="dxa" w:w="1928"/>
            <w:tcMar>
              <w:top w:w="60" w:type="dxa"/>
              <w:start w:w="100" w:type="dxa"/>
              <w:bottom w:w="60" w:type="dxa"/>
              <w:end w:w="100" w:type="dxa"/>
            </w:tcMar>
            <w:shd w:val="clear" w:color="auto" w:fill="003366"/>
          </w:tcPr>
          <w:p>
            <w:r/>
            <w:r>
              <w:rPr>
                <w:rFonts w:ascii="Calibri" w:hAnsi="Calibri"/>
                <w:b/>
                <w:color w:val="FFFFFF"/>
                <w:sz w:val="17"/>
              </w:rPr>
              <w:t>Wettelijk kader</w:t>
            </w:r>
          </w:p>
        </w:tc>
        <w:tc>
          <w:tcPr>
            <w:tcW w:type="dxa" w:w="4649"/>
            <w:tcMar>
              <w:top w:w="60" w:type="dxa"/>
              <w:start w:w="100" w:type="dxa"/>
              <w:bottom w:w="60" w:type="dxa"/>
              <w:end w:w="100" w:type="dxa"/>
            </w:tcMar>
            <w:shd w:val="clear" w:color="auto" w:fill="003366"/>
          </w:tcPr>
          <w:p>
            <w:r/>
            <w:r>
              <w:rPr>
                <w:rFonts w:ascii="Calibri" w:hAnsi="Calibri"/>
                <w:b/>
                <w:color w:val="FFFFFF"/>
                <w:sz w:val="17"/>
              </w:rPr>
              <w:t>Verplicht element</w:t>
            </w:r>
          </w:p>
        </w:tc>
        <w:tc>
          <w:tcPr>
            <w:tcW w:type="dxa" w:w="794"/>
            <w:tcMar>
              <w:top w:w="60" w:type="dxa"/>
              <w:start w:w="100" w:type="dxa"/>
              <w:bottom w:w="60" w:type="dxa"/>
              <w:end w:w="100" w:type="dxa"/>
            </w:tcMar>
            <w:shd w:val="clear" w:color="auto" w:fill="003366"/>
          </w:tcPr>
          <w:p>
            <w:r/>
            <w:r>
              <w:rPr>
                <w:rFonts w:ascii="Calibri" w:hAnsi="Calibri"/>
                <w:b/>
                <w:color w:val="FFFFFF"/>
                <w:sz w:val="17"/>
              </w:rPr>
              <w:t>Prio</w:t>
            </w:r>
          </w:p>
        </w:tc>
        <w:tc>
          <w:tcPr>
            <w:tcW w:type="dxa" w:w="964"/>
            <w:tcMar>
              <w:top w:w="60" w:type="dxa"/>
              <w:start w:w="100" w:type="dxa"/>
              <w:bottom w:w="60" w:type="dxa"/>
              <w:end w:w="100" w:type="dxa"/>
            </w:tcMar>
            <w:shd w:val="clear" w:color="auto" w:fill="003366"/>
          </w:tcPr>
          <w:p>
            <w:r/>
            <w:r>
              <w:rPr>
                <w:rFonts w:ascii="Calibri" w:hAnsi="Calibri"/>
                <w:b/>
                <w:color w:val="FFFFFF"/>
                <w:sz w:val="17"/>
              </w:rPr>
              <w:t>Aanwezig</w:t>
            </w:r>
          </w:p>
        </w:tc>
        <w:tc>
          <w:tcPr>
            <w:tcW w:type="dxa" w:w="964"/>
            <w:tcMar>
              <w:top w:w="60" w:type="dxa"/>
              <w:start w:w="100" w:type="dxa"/>
              <w:bottom w:w="60" w:type="dxa"/>
              <w:end w:w="100" w:type="dxa"/>
            </w:tcMar>
            <w:shd w:val="clear" w:color="auto" w:fill="003366"/>
          </w:tcPr>
          <w:p>
            <w:r/>
            <w:r>
              <w:rPr>
                <w:rFonts w:ascii="Calibri" w:hAnsi="Calibri"/>
                <w:b/>
                <w:color w:val="FFFFFF"/>
                <w:sz w:val="17"/>
              </w:rPr>
              <w:t>Bewijs</w:t>
            </w:r>
          </w:p>
        </w:tc>
      </w:tr>
      <w:tr>
        <w:tc>
          <w:tcPr>
            <w:tcW w:type="dxa" w:w="567"/>
            <w:tcMar>
              <w:top w:w="60" w:type="dxa"/>
              <w:start w:w="100" w:type="dxa"/>
              <w:bottom w:w="60" w:type="dxa"/>
              <w:end w:w="100" w:type="dxa"/>
            </w:tcMar>
          </w:tcPr>
          <w:p>
            <w:r/>
            <w:r>
              <w:rPr>
                <w:rFonts w:ascii="Calibri" w:hAnsi="Calibri"/>
                <w:b w:val="0"/>
                <w:color w:val="1F2937"/>
                <w:sz w:val="17"/>
              </w:rPr>
              <w:t>J1</w:t>
            </w:r>
          </w:p>
        </w:tc>
        <w:tc>
          <w:tcPr>
            <w:tcW w:type="dxa" w:w="1928"/>
            <w:tcMar>
              <w:top w:w="60" w:type="dxa"/>
              <w:start w:w="100" w:type="dxa"/>
              <w:bottom w:w="60" w:type="dxa"/>
              <w:end w:w="100" w:type="dxa"/>
            </w:tcMar>
          </w:tcPr>
          <w:p>
            <w:r/>
            <w:r>
              <w:rPr>
                <w:rFonts w:ascii="Calibri" w:hAnsi="Calibri"/>
                <w:b w:val="0"/>
                <w:color w:val="1F2937"/>
                <w:sz w:val="17"/>
              </w:rPr>
              <w:t>Arbobesluit art. 4.2 lid 1</w:t>
            </w:r>
          </w:p>
        </w:tc>
        <w:tc>
          <w:tcPr>
            <w:tcW w:type="dxa" w:w="4649"/>
            <w:tcMar>
              <w:top w:w="60" w:type="dxa"/>
              <w:start w:w="100" w:type="dxa"/>
              <w:bottom w:w="60" w:type="dxa"/>
              <w:end w:w="100" w:type="dxa"/>
            </w:tcMar>
          </w:tcPr>
          <w:p>
            <w:r/>
            <w:r>
              <w:rPr>
                <w:rFonts w:ascii="Calibri" w:hAnsi="Calibri"/>
                <w:b w:val="0"/>
                <w:color w:val="1F2937"/>
                <w:sz w:val="17"/>
              </w:rPr>
              <w:t>Blootstelling beoordeeld: aard, mate, duur + hoeveelheden, aantal betrokkenen, arbeidsvorm gedocumenteerd</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J2</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Arbobesluit art. 4.2 lid 4</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Meetstrategie conform NEN-EN 689; meetprocedures conform NEN-EN 482; toetsing aan 1 µg/m³</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J3</w:t>
            </w:r>
          </w:p>
        </w:tc>
        <w:tc>
          <w:tcPr>
            <w:tcW w:type="dxa" w:w="1928"/>
            <w:tcMar>
              <w:top w:w="60" w:type="dxa"/>
              <w:start w:w="100" w:type="dxa"/>
              <w:bottom w:w="60" w:type="dxa"/>
              <w:end w:w="100" w:type="dxa"/>
            </w:tcMar>
          </w:tcPr>
          <w:p>
            <w:r/>
            <w:r>
              <w:rPr>
                <w:rFonts w:ascii="Calibri" w:hAnsi="Calibri"/>
                <w:b w:val="0"/>
                <w:color w:val="1F2937"/>
                <w:sz w:val="17"/>
              </w:rPr>
              <w:t>Arbobesluit art. 4.10a</w:t>
            </w:r>
          </w:p>
        </w:tc>
        <w:tc>
          <w:tcPr>
            <w:tcW w:type="dxa" w:w="4649"/>
            <w:tcMar>
              <w:top w:w="60" w:type="dxa"/>
              <w:start w:w="100" w:type="dxa"/>
              <w:bottom w:w="60" w:type="dxa"/>
              <w:end w:w="100" w:type="dxa"/>
            </w:tcMar>
          </w:tcPr>
          <w:p>
            <w:r/>
            <w:r>
              <w:rPr>
                <w:rFonts w:ascii="Calibri" w:hAnsi="Calibri"/>
                <w:b w:val="0"/>
                <w:color w:val="1F2937"/>
                <w:sz w:val="17"/>
              </w:rPr>
              <w:t>(P)AGO aangeboden vóór aanvang blootstellingswerkzaamheden en periodiek daarna; rol bedrijfsarts opgenomen</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J4</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Arbobesluit art. 4.10c</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Blootstellings- en meetgegevens 40 jaar bewaard en beschikbaar (incl. overdracht bij projecteinde)</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J5</w:t>
            </w:r>
          </w:p>
        </w:tc>
        <w:tc>
          <w:tcPr>
            <w:tcW w:type="dxa" w:w="1928"/>
            <w:tcMar>
              <w:top w:w="60" w:type="dxa"/>
              <w:start w:w="100" w:type="dxa"/>
              <w:bottom w:w="60" w:type="dxa"/>
              <w:end w:w="100" w:type="dxa"/>
            </w:tcMar>
          </w:tcPr>
          <w:p>
            <w:r/>
            <w:r>
              <w:rPr>
                <w:rFonts w:ascii="Calibri" w:hAnsi="Calibri"/>
                <w:b w:val="0"/>
                <w:color w:val="1F2937"/>
                <w:sz w:val="17"/>
              </w:rPr>
              <w:t>Arbobesluit art. 4.13</w:t>
            </w:r>
          </w:p>
        </w:tc>
        <w:tc>
          <w:tcPr>
            <w:tcW w:type="dxa" w:w="4649"/>
            <w:tcMar>
              <w:top w:w="60" w:type="dxa"/>
              <w:start w:w="100" w:type="dxa"/>
              <w:bottom w:w="60" w:type="dxa"/>
              <w:end w:w="100" w:type="dxa"/>
            </w:tcMar>
          </w:tcPr>
          <w:p>
            <w:r/>
            <w:r>
              <w:rPr>
                <w:rFonts w:ascii="Calibri" w:hAnsi="Calibri"/>
                <w:b w:val="0"/>
                <w:color w:val="1F2937"/>
                <w:sz w:val="17"/>
              </w:rPr>
              <w:t>RI&amp;E-registratie met tox-elementen; vervangings-/bronmaatregelafweging met onderbouwing gedocumenteerd; OR/PVT betrokken bij plan van aanpak</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J6</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Arbobesluit art. 4.15</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Lijst van (mogelijk) blootgestelde werknemers en subcontractors bijgehouden; inzage- en afschriftrecht geregeld</w:t>
            </w:r>
          </w:p>
        </w:tc>
        <w:tc>
          <w:tcPr>
            <w:tcW w:type="dxa" w:w="794"/>
            <w:tcMar>
              <w:top w:w="60" w:type="dxa"/>
              <w:start w:w="100" w:type="dxa"/>
              <w:bottom w:w="60" w:type="dxa"/>
              <w:end w:w="100" w:type="dxa"/>
            </w:tcMar>
            <w:shd w:val="clear" w:color="auto" w:fill="FEF2F2"/>
          </w:tcPr>
          <w:p>
            <w:r/>
            <w:r>
              <w:rPr>
                <w:rFonts w:ascii="Calibri" w:hAnsi="Calibri"/>
                <w:b/>
                <w:color w:val="EF4444"/>
                <w:sz w:val="17"/>
              </w:rPr>
              <w:t>P1</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J7</w:t>
            </w:r>
          </w:p>
        </w:tc>
        <w:tc>
          <w:tcPr>
            <w:tcW w:type="dxa" w:w="1928"/>
            <w:tcMar>
              <w:top w:w="60" w:type="dxa"/>
              <w:start w:w="100" w:type="dxa"/>
              <w:bottom w:w="60" w:type="dxa"/>
              <w:end w:w="100" w:type="dxa"/>
            </w:tcMar>
          </w:tcPr>
          <w:p>
            <w:r/>
            <w:r>
              <w:rPr>
                <w:rFonts w:ascii="Calibri" w:hAnsi="Calibri"/>
                <w:b w:val="0"/>
                <w:color w:val="1F2937"/>
                <w:sz w:val="17"/>
              </w:rPr>
              <w:t>Arbobesluit art. 4.21</w:t>
            </w:r>
          </w:p>
        </w:tc>
        <w:tc>
          <w:tcPr>
            <w:tcW w:type="dxa" w:w="4649"/>
            <w:tcMar>
              <w:top w:w="60" w:type="dxa"/>
              <w:start w:w="100" w:type="dxa"/>
              <w:bottom w:w="60" w:type="dxa"/>
              <w:end w:w="100" w:type="dxa"/>
            </w:tcMar>
          </w:tcPr>
          <w:p>
            <w:r/>
            <w:r>
              <w:rPr>
                <w:rFonts w:ascii="Calibri" w:hAnsi="Calibri"/>
                <w:b w:val="0"/>
                <w:color w:val="1F2937"/>
                <w:sz w:val="17"/>
              </w:rPr>
              <w:t>Protocol abnormale blootstelling: onmiddellijke informatie aan betrokkenen, onderzoek oorzaak, informering OR/PVT</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J8</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REACH (EG) 1907/2006, Bijlage XIV</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Autorisatiestatus Cr(VI)-verbindingen bepaald; geen gebruik van niet-geautoriseerde Cr(VI)-producten (bijv. primers, passiveringsmiddelen)</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J9</w:t>
            </w:r>
          </w:p>
        </w:tc>
        <w:tc>
          <w:tcPr>
            <w:tcW w:type="dxa" w:w="1928"/>
            <w:tcMar>
              <w:top w:w="60" w:type="dxa"/>
              <w:start w:w="100" w:type="dxa"/>
              <w:bottom w:w="60" w:type="dxa"/>
              <w:end w:w="100" w:type="dxa"/>
            </w:tcMar>
          </w:tcPr>
          <w:p>
            <w:r/>
            <w:r>
              <w:rPr>
                <w:rFonts w:ascii="Calibri" w:hAnsi="Calibri"/>
                <w:b w:val="0"/>
                <w:color w:val="1F2937"/>
                <w:sz w:val="17"/>
              </w:rPr>
              <w:t>Bal; Wet milieubeheer / LAP</w:t>
            </w:r>
          </w:p>
        </w:tc>
        <w:tc>
          <w:tcPr>
            <w:tcW w:type="dxa" w:w="4649"/>
            <w:tcMar>
              <w:top w:w="60" w:type="dxa"/>
              <w:start w:w="100" w:type="dxa"/>
              <w:bottom w:w="60" w:type="dxa"/>
              <w:end w:w="100" w:type="dxa"/>
            </w:tcMar>
          </w:tcPr>
          <w:p>
            <w:r/>
            <w:r>
              <w:rPr>
                <w:rFonts w:ascii="Calibri" w:hAnsi="Calibri"/>
                <w:b w:val="0"/>
                <w:color w:val="1F2937"/>
                <w:sz w:val="17"/>
              </w:rPr>
              <w:t>Cr(VI)-gecontamineerd afval geklassificeerd, gescheiden, geëtiketteerd en via erkende afzender-ontvanger afgevoerd (incl. zeetransport)</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J10</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SER-grenswaardenlijst</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Grenswaarde 1 µg/m³ (8-uurs TGG) vermeld én gebruikt als toetskader voor metingen en beheersmaatregelen</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J11</w:t>
            </w:r>
          </w:p>
        </w:tc>
        <w:tc>
          <w:tcPr>
            <w:tcW w:type="dxa" w:w="1928"/>
            <w:tcMar>
              <w:top w:w="60" w:type="dxa"/>
              <w:start w:w="100" w:type="dxa"/>
              <w:bottom w:w="60" w:type="dxa"/>
              <w:end w:w="100" w:type="dxa"/>
            </w:tcMar>
          </w:tcPr>
          <w:p>
            <w:r/>
            <w:r>
              <w:rPr>
                <w:rFonts w:ascii="Calibri" w:hAnsi="Calibri"/>
                <w:b w:val="0"/>
                <w:color w:val="1F2937"/>
                <w:sz w:val="17"/>
              </w:rPr>
              <w:t>Richtlijn (EU) 2017/2398</w:t>
            </w:r>
          </w:p>
        </w:tc>
        <w:tc>
          <w:tcPr>
            <w:tcW w:type="dxa" w:w="4649"/>
            <w:tcMar>
              <w:top w:w="60" w:type="dxa"/>
              <w:start w:w="100" w:type="dxa"/>
              <w:bottom w:w="60" w:type="dxa"/>
              <w:end w:w="100" w:type="dxa"/>
            </w:tcMar>
          </w:tcPr>
          <w:p>
            <w:r/>
            <w:r>
              <w:rPr>
                <w:rFonts w:ascii="Calibri" w:hAnsi="Calibri"/>
                <w:b w:val="0"/>
                <w:color w:val="1F2937"/>
                <w:sz w:val="17"/>
              </w:rPr>
              <w:t>Verwijzing opgenomen in referentielijst (reeds aanwezig in §6) en inhoudelijk verwerkt</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J12</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Arbo-Informatiebladen 67, 31, 18, 77</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Opgenomen in referentielijst als toetsingskader voor revisies</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tcPr>
          <w:p>
            <w:r/>
            <w:r>
              <w:rPr>
                <w:rFonts w:ascii="Calibri" w:hAnsi="Calibri"/>
                <w:b w:val="0"/>
                <w:color w:val="1F2937"/>
                <w:sz w:val="17"/>
              </w:rPr>
              <w:t>J13</w:t>
            </w:r>
          </w:p>
        </w:tc>
        <w:tc>
          <w:tcPr>
            <w:tcW w:type="dxa" w:w="1928"/>
            <w:tcMar>
              <w:top w:w="60" w:type="dxa"/>
              <w:start w:w="100" w:type="dxa"/>
              <w:bottom w:w="60" w:type="dxa"/>
              <w:end w:w="100" w:type="dxa"/>
            </w:tcMar>
          </w:tcPr>
          <w:p>
            <w:r/>
            <w:r>
              <w:rPr>
                <w:rFonts w:ascii="Calibri" w:hAnsi="Calibri"/>
                <w:b w:val="0"/>
                <w:color w:val="1F2937"/>
                <w:sz w:val="17"/>
              </w:rPr>
              <w:t>Beheersregime Chroom-6</w:t>
            </w:r>
          </w:p>
        </w:tc>
        <w:tc>
          <w:tcPr>
            <w:tcW w:type="dxa" w:w="4649"/>
            <w:tcMar>
              <w:top w:w="60" w:type="dxa"/>
              <w:start w:w="100" w:type="dxa"/>
              <w:bottom w:w="60" w:type="dxa"/>
              <w:end w:w="100" w:type="dxa"/>
            </w:tcMar>
          </w:tcPr>
          <w:p>
            <w:r/>
            <w:r>
              <w:rPr>
                <w:rFonts w:ascii="Calibri" w:hAnsi="Calibri"/>
                <w:b w:val="0"/>
                <w:color w:val="1F2937"/>
                <w:sz w:val="17"/>
              </w:rPr>
              <w:t>Operationeel vertaald naar beheersmaatregelenmatrix per activiteit of subparagraaf-verwijzing</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r>
        <w:tc>
          <w:tcPr>
            <w:tcW w:type="dxa" w:w="567"/>
            <w:tcMar>
              <w:top w:w="60" w:type="dxa"/>
              <w:start w:w="100" w:type="dxa"/>
              <w:bottom w:w="60" w:type="dxa"/>
              <w:end w:w="100" w:type="dxa"/>
            </w:tcMar>
            <w:shd w:val="clear" w:color="auto" w:fill="F8F9FA"/>
          </w:tcPr>
          <w:p>
            <w:r/>
            <w:r>
              <w:rPr>
                <w:rFonts w:ascii="Calibri" w:hAnsi="Calibri"/>
                <w:b w:val="0"/>
                <w:color w:val="1F2937"/>
                <w:sz w:val="17"/>
              </w:rPr>
              <w:t>J14</w:t>
            </w:r>
          </w:p>
        </w:tc>
        <w:tc>
          <w:tcPr>
            <w:tcW w:type="dxa" w:w="1928"/>
            <w:tcMar>
              <w:top w:w="60" w:type="dxa"/>
              <w:start w:w="100" w:type="dxa"/>
              <w:bottom w:w="60" w:type="dxa"/>
              <w:end w:w="100" w:type="dxa"/>
            </w:tcMar>
            <w:shd w:val="clear" w:color="auto" w:fill="F8F9FA"/>
          </w:tcPr>
          <w:p>
            <w:r/>
            <w:r>
              <w:rPr>
                <w:rFonts w:ascii="Calibri" w:hAnsi="Calibri"/>
                <w:b w:val="0"/>
                <w:color w:val="1F2937"/>
                <w:sz w:val="17"/>
              </w:rPr>
              <w:t>Documentbeheer / ISO 9001-logica</w:t>
            </w:r>
          </w:p>
        </w:tc>
        <w:tc>
          <w:tcPr>
            <w:tcW w:type="dxa" w:w="4649"/>
            <w:tcMar>
              <w:top w:w="60" w:type="dxa"/>
              <w:start w:w="100" w:type="dxa"/>
              <w:bottom w:w="60" w:type="dxa"/>
              <w:end w:w="100" w:type="dxa"/>
            </w:tcMar>
            <w:shd w:val="clear" w:color="auto" w:fill="F8F9FA"/>
          </w:tcPr>
          <w:p>
            <w:r/>
            <w:r>
              <w:rPr>
                <w:rFonts w:ascii="Calibri" w:hAnsi="Calibri"/>
                <w:b w:val="0"/>
                <w:color w:val="1F2937"/>
                <w:sz w:val="17"/>
              </w:rPr>
              <w:t>Eén consistente revisie-aanduiding; gevulde revision log; consistente datums; interne referenties gedateerd/geversioneerd</w:t>
            </w:r>
          </w:p>
        </w:tc>
        <w:tc>
          <w:tcPr>
            <w:tcW w:type="dxa" w:w="794"/>
            <w:tcMar>
              <w:top w:w="60" w:type="dxa"/>
              <w:start w:w="100" w:type="dxa"/>
              <w:bottom w:w="60" w:type="dxa"/>
              <w:end w:w="100" w:type="dxa"/>
            </w:tcMar>
            <w:shd w:val="clear" w:color="auto" w:fill="FFFBEB"/>
          </w:tcPr>
          <w:p>
            <w:r/>
            <w:r>
              <w:rPr>
                <w:rFonts w:ascii="Calibri" w:hAnsi="Calibri"/>
                <w:b/>
                <w:color w:val="B45309"/>
                <w:sz w:val="17"/>
              </w:rPr>
              <w:t>P2</w:t>
            </w:r>
          </w:p>
        </w:tc>
        <w:tc>
          <w:tcPr>
            <w:tcW w:type="dxa" w:w="1662"/>
          </w:tcPr>
          <w:p/>
        </w:tc>
        <w:tc>
          <w:tcPr>
            <w:tcW w:type="dxa" w:w="1662"/>
          </w:tcPr>
          <w:p/>
        </w:tc>
      </w:tr>
    </w:tbl>
    <w:p/>
    <w:p>
      <w:r>
        <w:rPr>
          <w:rFonts w:ascii="Calibri" w:hAnsi="Calibri"/>
          <w:i/>
          <w:color w:val="1F2937"/>
          <w:sz w:val="18"/>
        </w:rPr>
        <w:t>Beoordelingsschaal aanwezig: C = conform aangetoond · D = deels (verbetering nodig) · N = niet aanwezig · N.v.t. = niet van toepassing (met onderbouwing).</w:t>
      </w:r>
    </w:p>
    <w:p>
      <w:r>
        <w:br w:type="page"/>
      </w:r>
    </w:p>
    <w:p>
      <w:pPr>
        <w:spacing w:before="360" w:after="160"/>
        <w:pBdr>
          <w:bottom w:val="single" w:sz="12" w:space="4" w:color="003366"/>
        </w:pBdr>
      </w:pPr>
      <w:r>
        <w:rPr>
          <w:rFonts w:ascii="Calibri" w:hAnsi="Calibri"/>
          <w:b/>
          <w:color w:val="003366"/>
          <w:sz w:val="32"/>
        </w:rPr>
        <w:t>Deel 3 — P1/P2 prioriteringsmatrix</w:t>
      </w:r>
    </w:p>
    <w:p>
      <w:pPr>
        <w:spacing w:before="240" w:after="120"/>
      </w:pPr>
      <w:r>
        <w:rPr>
          <w:rFonts w:ascii="Calibri" w:hAnsi="Calibri"/>
          <w:b/>
          <w:color w:val="003366"/>
          <w:sz w:val="26"/>
        </w:rPr>
        <w:t>3.1 Definities</w:t>
      </w:r>
    </w:p>
    <w:tbl>
      <w:tblPr>
        <w:tblStyle w:val="TableGrid"/>
        <w:tblW w:type="auto" w:w="0"/>
        <w:jc w:val="center"/>
        <w:tblLayout w:type="fixed"/>
        <w:tblLook w:firstColumn="1" w:firstRow="1" w:lastColumn="0" w:lastRow="0" w:noHBand="0" w:noVBand="1" w:val="04A0"/>
      </w:tblPr>
      <w:tblGrid>
        <w:gridCol w:w="3324"/>
        <w:gridCol w:w="3324"/>
        <w:gridCol w:w="3324"/>
      </w:tblGrid>
      <w:tr>
        <w:tc>
          <w:tcPr>
            <w:tcW w:type="dxa" w:w="2041"/>
            <w:tcMar>
              <w:top w:w="60" w:type="dxa"/>
              <w:start w:w="100" w:type="dxa"/>
              <w:bottom w:w="60" w:type="dxa"/>
              <w:end w:w="100" w:type="dxa"/>
            </w:tcMar>
            <w:shd w:val="clear" w:color="auto" w:fill="003366"/>
          </w:tcPr>
          <w:p>
            <w:r/>
            <w:r>
              <w:rPr>
                <w:rFonts w:ascii="Calibri" w:hAnsi="Calibri"/>
                <w:b/>
                <w:color w:val="FFFFFF"/>
                <w:sz w:val="20"/>
              </w:rPr>
              <w:t>Klasse</w:t>
            </w:r>
          </w:p>
        </w:tc>
        <w:tc>
          <w:tcPr>
            <w:tcW w:type="dxa" w:w="4762"/>
            <w:tcMar>
              <w:top w:w="60" w:type="dxa"/>
              <w:start w:w="100" w:type="dxa"/>
              <w:bottom w:w="60" w:type="dxa"/>
              <w:end w:w="100" w:type="dxa"/>
            </w:tcMar>
            <w:shd w:val="clear" w:color="auto" w:fill="003366"/>
          </w:tcPr>
          <w:p>
            <w:r/>
            <w:r>
              <w:rPr>
                <w:rFonts w:ascii="Calibri" w:hAnsi="Calibri"/>
                <w:b/>
                <w:color w:val="FFFFFF"/>
                <w:sz w:val="20"/>
              </w:rPr>
              <w:t>Definitie</w:t>
            </w:r>
          </w:p>
        </w:tc>
        <w:tc>
          <w:tcPr>
            <w:tcW w:type="dxa" w:w="3061"/>
            <w:tcMar>
              <w:top w:w="60" w:type="dxa"/>
              <w:start w:w="100" w:type="dxa"/>
              <w:bottom w:w="60" w:type="dxa"/>
              <w:end w:w="100" w:type="dxa"/>
            </w:tcMar>
            <w:shd w:val="clear" w:color="auto" w:fill="003366"/>
          </w:tcPr>
          <w:p>
            <w:r/>
            <w:r>
              <w:rPr>
                <w:rFonts w:ascii="Calibri" w:hAnsi="Calibri"/>
                <w:b/>
                <w:color w:val="FFFFFF"/>
                <w:sz w:val="20"/>
              </w:rPr>
              <w:t>Actietermijn</w:t>
            </w:r>
          </w:p>
        </w:tc>
      </w:tr>
      <w:tr>
        <w:tc>
          <w:tcPr>
            <w:tcW w:type="dxa" w:w="2041"/>
            <w:tcMar>
              <w:top w:w="60" w:type="dxa"/>
              <w:start w:w="100" w:type="dxa"/>
              <w:bottom w:w="60" w:type="dxa"/>
              <w:end w:w="100" w:type="dxa"/>
            </w:tcMar>
            <w:shd w:val="clear" w:color="auto" w:fill="FEF2F2"/>
          </w:tcPr>
          <w:p>
            <w:r/>
            <w:r>
              <w:rPr>
                <w:rFonts w:ascii="Calibri" w:hAnsi="Calibri"/>
                <w:b/>
                <w:color w:val="EF4444"/>
                <w:sz w:val="20"/>
              </w:rPr>
              <w:t>P1 — Kritiek</w:t>
            </w:r>
          </w:p>
        </w:tc>
        <w:tc>
          <w:tcPr>
            <w:tcW w:type="dxa" w:w="4762"/>
            <w:tcMar>
              <w:top w:w="60" w:type="dxa"/>
              <w:start w:w="100" w:type="dxa"/>
              <w:bottom w:w="60" w:type="dxa"/>
              <w:end w:w="100" w:type="dxa"/>
            </w:tcMar>
          </w:tcPr>
          <w:p>
            <w:r/>
            <w:r>
              <w:rPr>
                <w:rFonts w:ascii="Calibri" w:hAnsi="Calibri"/>
                <w:b w:val="0"/>
                <w:color w:val="1F2937"/>
                <w:sz w:val="20"/>
              </w:rPr>
              <w:t>Wettelijk verplicht element ontbreekt volledig</w:t>
            </w:r>
          </w:p>
        </w:tc>
        <w:tc>
          <w:tcPr>
            <w:tcW w:type="dxa" w:w="3061"/>
            <w:tcMar>
              <w:top w:w="60" w:type="dxa"/>
              <w:start w:w="100" w:type="dxa"/>
              <w:bottom w:w="60" w:type="dxa"/>
              <w:end w:w="100" w:type="dxa"/>
            </w:tcMar>
          </w:tcPr>
          <w:p>
            <w:r/>
            <w:r>
              <w:rPr>
                <w:rFonts w:ascii="Calibri" w:hAnsi="Calibri"/>
                <w:b w:val="0"/>
                <w:color w:val="1F2937"/>
                <w:sz w:val="20"/>
              </w:rPr>
              <w:t>Vóór projectuitvoering / eerstvolgende revisie</w:t>
            </w:r>
          </w:p>
        </w:tc>
      </w:tr>
      <w:tr>
        <w:tc>
          <w:tcPr>
            <w:tcW w:type="dxa" w:w="2041"/>
            <w:tcMar>
              <w:top w:w="60" w:type="dxa"/>
              <w:start w:w="100" w:type="dxa"/>
              <w:bottom w:w="60" w:type="dxa"/>
              <w:end w:w="100" w:type="dxa"/>
            </w:tcMar>
            <w:shd w:val="clear" w:color="auto" w:fill="FFFBEB"/>
          </w:tcPr>
          <w:p>
            <w:r/>
            <w:r>
              <w:rPr>
                <w:rFonts w:ascii="Calibri" w:hAnsi="Calibri"/>
                <w:b/>
                <w:color w:val="B45309"/>
                <w:sz w:val="20"/>
              </w:rPr>
              <w:t>P2 — Verbetering</w:t>
            </w:r>
          </w:p>
        </w:tc>
        <w:tc>
          <w:tcPr>
            <w:tcW w:type="dxa" w:w="4762"/>
            <w:tcMar>
              <w:top w:w="60" w:type="dxa"/>
              <w:start w:w="100" w:type="dxa"/>
              <w:bottom w:w="60" w:type="dxa"/>
              <w:end w:w="100" w:type="dxa"/>
            </w:tcMar>
            <w:shd w:val="clear" w:color="auto" w:fill="F8F9FA"/>
          </w:tcPr>
          <w:p>
            <w:r/>
            <w:r>
              <w:rPr>
                <w:rFonts w:ascii="Calibri" w:hAnsi="Calibri"/>
                <w:b w:val="0"/>
                <w:color w:val="1F2937"/>
                <w:sz w:val="20"/>
              </w:rPr>
              <w:t>Verplicht of verwacht element onvolledig uitgewerkt</w:t>
            </w:r>
          </w:p>
        </w:tc>
        <w:tc>
          <w:tcPr>
            <w:tcW w:type="dxa" w:w="3061"/>
            <w:tcMar>
              <w:top w:w="60" w:type="dxa"/>
              <w:start w:w="100" w:type="dxa"/>
              <w:bottom w:w="60" w:type="dxa"/>
              <w:end w:w="100" w:type="dxa"/>
            </w:tcMar>
            <w:shd w:val="clear" w:color="auto" w:fill="F8F9FA"/>
          </w:tcPr>
          <w:p>
            <w:r/>
            <w:r>
              <w:rPr>
                <w:rFonts w:ascii="Calibri" w:hAnsi="Calibri"/>
                <w:b w:val="0"/>
                <w:color w:val="1F2937"/>
                <w:sz w:val="20"/>
              </w:rPr>
              <w:t>Zelfde of opvolgende revisie</w:t>
            </w:r>
          </w:p>
        </w:tc>
      </w:tr>
      <w:tr>
        <w:tc>
          <w:tcPr>
            <w:tcW w:type="dxa" w:w="2041"/>
            <w:tcMar>
              <w:top w:w="60" w:type="dxa"/>
              <w:start w:w="100" w:type="dxa"/>
              <w:bottom w:w="60" w:type="dxa"/>
              <w:end w:w="100" w:type="dxa"/>
            </w:tcMar>
            <w:shd w:val="clear" w:color="auto" w:fill="F0FDF4"/>
          </w:tcPr>
          <w:p>
            <w:r/>
            <w:r>
              <w:rPr>
                <w:rFonts w:ascii="Calibri" w:hAnsi="Calibri"/>
                <w:b/>
                <w:color w:val="00A859"/>
                <w:sz w:val="20"/>
              </w:rPr>
              <w:t>Conform</w:t>
            </w:r>
          </w:p>
        </w:tc>
        <w:tc>
          <w:tcPr>
            <w:tcW w:type="dxa" w:w="4762"/>
            <w:tcMar>
              <w:top w:w="60" w:type="dxa"/>
              <w:start w:w="100" w:type="dxa"/>
              <w:bottom w:w="60" w:type="dxa"/>
              <w:end w:w="100" w:type="dxa"/>
            </w:tcMar>
          </w:tcPr>
          <w:p>
            <w:r/>
            <w:r>
              <w:rPr>
                <w:rFonts w:ascii="Calibri" w:hAnsi="Calibri"/>
                <w:b w:val="0"/>
                <w:color w:val="1F2937"/>
                <w:sz w:val="20"/>
              </w:rPr>
              <w:t>Voldoet aan de eis</w:t>
            </w:r>
          </w:p>
        </w:tc>
        <w:tc>
          <w:tcPr>
            <w:tcW w:type="dxa" w:w="3061"/>
            <w:tcMar>
              <w:top w:w="60" w:type="dxa"/>
              <w:start w:w="100" w:type="dxa"/>
              <w:bottom w:w="60" w:type="dxa"/>
              <w:end w:w="100" w:type="dxa"/>
            </w:tcMar>
          </w:tcPr>
          <w:p>
            <w:r/>
            <w:r>
              <w:rPr>
                <w:rFonts w:ascii="Calibri" w:hAnsi="Calibri"/>
                <w:b w:val="0"/>
                <w:color w:val="1F2937"/>
                <w:sz w:val="20"/>
              </w:rPr>
              <w:t>Geen actie; borgen bij revisies</w:t>
            </w:r>
          </w:p>
        </w:tc>
      </w:tr>
    </w:tbl>
    <w:p/>
    <w:p>
      <w:pPr>
        <w:spacing w:before="240" w:after="120"/>
      </w:pPr>
      <w:r>
        <w:rPr>
          <w:rFonts w:ascii="Calibri" w:hAnsi="Calibri"/>
          <w:b/>
          <w:color w:val="003366"/>
          <w:sz w:val="26"/>
        </w:rPr>
        <w:t>3.2 Matrix: bevindingen × prioriteit × voorstel</w:t>
      </w:r>
    </w:p>
    <w:tbl>
      <w:tblPr>
        <w:tblStyle w:val="TableGrid"/>
        <w:tblW w:type="auto" w:w="0"/>
        <w:jc w:val="center"/>
        <w:tblLayout w:type="fixed"/>
        <w:tblLook w:firstColumn="1" w:firstRow="1" w:lastColumn="0" w:lastRow="0" w:noHBand="0" w:noVBand="1" w:val="04A0"/>
      </w:tblPr>
      <w:tblGrid>
        <w:gridCol w:w="2493"/>
        <w:gridCol w:w="2493"/>
        <w:gridCol w:w="2493"/>
        <w:gridCol w:w="2493"/>
      </w:tblGrid>
      <w:tr>
        <w:tc>
          <w:tcPr>
            <w:tcW w:type="dxa" w:w="1134"/>
            <w:tcMar>
              <w:top w:w="60" w:type="dxa"/>
              <w:start w:w="100" w:type="dxa"/>
              <w:bottom w:w="60" w:type="dxa"/>
              <w:end w:w="100" w:type="dxa"/>
            </w:tcMar>
            <w:shd w:val="clear" w:color="auto" w:fill="003366"/>
          </w:tcPr>
          <w:p>
            <w:r/>
            <w:r>
              <w:rPr>
                <w:rFonts w:ascii="Calibri" w:hAnsi="Calibri"/>
                <w:b/>
                <w:color w:val="FFFFFF"/>
                <w:sz w:val="17"/>
              </w:rPr>
              <w:t>Bevinding</w:t>
            </w:r>
          </w:p>
        </w:tc>
        <w:tc>
          <w:tcPr>
            <w:tcW w:type="dxa" w:w="5783"/>
            <w:tcMar>
              <w:top w:w="60" w:type="dxa"/>
              <w:start w:w="100" w:type="dxa"/>
              <w:bottom w:w="60" w:type="dxa"/>
              <w:end w:w="100" w:type="dxa"/>
            </w:tcMar>
            <w:shd w:val="clear" w:color="auto" w:fill="003366"/>
          </w:tcPr>
          <w:p>
            <w:r/>
            <w:r>
              <w:rPr>
                <w:rFonts w:ascii="Calibri" w:hAnsi="Calibri"/>
                <w:b/>
                <w:color w:val="FFFFFF"/>
                <w:sz w:val="17"/>
              </w:rPr>
              <w:t>Eis</w:t>
            </w:r>
          </w:p>
        </w:tc>
        <w:tc>
          <w:tcPr>
            <w:tcW w:type="dxa" w:w="1474"/>
            <w:tcMar>
              <w:top w:w="60" w:type="dxa"/>
              <w:start w:w="100" w:type="dxa"/>
              <w:bottom w:w="60" w:type="dxa"/>
              <w:end w:w="100" w:type="dxa"/>
            </w:tcMar>
            <w:shd w:val="clear" w:color="auto" w:fill="003366"/>
          </w:tcPr>
          <w:p>
            <w:r/>
            <w:r>
              <w:rPr>
                <w:rFonts w:ascii="Calibri" w:hAnsi="Calibri"/>
                <w:b/>
                <w:color w:val="FFFFFF"/>
                <w:sz w:val="17"/>
              </w:rPr>
              <w:t>Klasse</w:t>
            </w:r>
          </w:p>
        </w:tc>
        <w:tc>
          <w:tcPr>
            <w:tcW w:type="dxa" w:w="1474"/>
            <w:tcMar>
              <w:top w:w="60" w:type="dxa"/>
              <w:start w:w="100" w:type="dxa"/>
              <w:bottom w:w="60" w:type="dxa"/>
              <w:end w:w="100" w:type="dxa"/>
            </w:tcMar>
            <w:shd w:val="clear" w:color="auto" w:fill="003366"/>
          </w:tcPr>
          <w:p>
            <w:r/>
            <w:r>
              <w:rPr>
                <w:rFonts w:ascii="Calibri" w:hAnsi="Calibri"/>
                <w:b/>
                <w:color w:val="FFFFFF"/>
                <w:sz w:val="17"/>
              </w:rPr>
              <w:t>Voorstel</w:t>
            </w:r>
          </w:p>
        </w:tc>
      </w:tr>
      <w:tr>
        <w:tc>
          <w:tcPr>
            <w:tcW w:type="dxa" w:w="1134"/>
            <w:tcMar>
              <w:top w:w="60" w:type="dxa"/>
              <w:start w:w="100" w:type="dxa"/>
              <w:bottom w:w="60" w:type="dxa"/>
              <w:end w:w="100" w:type="dxa"/>
            </w:tcMar>
          </w:tcPr>
          <w:p>
            <w:r/>
            <w:r>
              <w:rPr>
                <w:rFonts w:ascii="Calibri" w:hAnsi="Calibri"/>
                <w:b w:val="0"/>
                <w:color w:val="1F2937"/>
                <w:sz w:val="17"/>
              </w:rPr>
              <w:t>B1</w:t>
            </w:r>
          </w:p>
        </w:tc>
        <w:tc>
          <w:tcPr>
            <w:tcW w:type="dxa" w:w="5783"/>
            <w:tcMar>
              <w:top w:w="60" w:type="dxa"/>
              <w:start w:w="100" w:type="dxa"/>
              <w:bottom w:w="60" w:type="dxa"/>
              <w:end w:w="100" w:type="dxa"/>
            </w:tcMar>
          </w:tcPr>
          <w:p>
            <w:r/>
            <w:r>
              <w:rPr>
                <w:rFonts w:ascii="Calibri" w:hAnsi="Calibri"/>
                <w:b w:val="0"/>
                <w:color w:val="1F2937"/>
                <w:sz w:val="17"/>
              </w:rPr>
              <w:t>Meetstrategie NEN-EN 689/482 + toetsing 1 µg/m³</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tcPr>
          <w:p>
            <w:r/>
            <w:r>
              <w:rPr>
                <w:rFonts w:ascii="Calibri" w:hAnsi="Calibri"/>
                <w:b w:val="0"/>
                <w:color w:val="1F2937"/>
                <w:sz w:val="17"/>
              </w:rPr>
              <w:t>H1</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B2</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AGO vóór aanvang</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H2</w:t>
            </w:r>
          </w:p>
        </w:tc>
      </w:tr>
      <w:tr>
        <w:tc>
          <w:tcPr>
            <w:tcW w:type="dxa" w:w="1134"/>
            <w:tcMar>
              <w:top w:w="60" w:type="dxa"/>
              <w:start w:w="100" w:type="dxa"/>
              <w:bottom w:w="60" w:type="dxa"/>
              <w:end w:w="100" w:type="dxa"/>
            </w:tcMar>
          </w:tcPr>
          <w:p>
            <w:r/>
            <w:r>
              <w:rPr>
                <w:rFonts w:ascii="Calibri" w:hAnsi="Calibri"/>
                <w:b w:val="0"/>
                <w:color w:val="1F2937"/>
                <w:sz w:val="17"/>
              </w:rPr>
              <w:t>B3</w:t>
            </w:r>
          </w:p>
        </w:tc>
        <w:tc>
          <w:tcPr>
            <w:tcW w:type="dxa" w:w="5783"/>
            <w:tcMar>
              <w:top w:w="60" w:type="dxa"/>
              <w:start w:w="100" w:type="dxa"/>
              <w:bottom w:w="60" w:type="dxa"/>
              <w:end w:w="100" w:type="dxa"/>
            </w:tcMar>
          </w:tcPr>
          <w:p>
            <w:r/>
            <w:r>
              <w:rPr>
                <w:rFonts w:ascii="Calibri" w:hAnsi="Calibri"/>
                <w:b w:val="0"/>
                <w:color w:val="1F2937"/>
                <w:sz w:val="17"/>
              </w:rPr>
              <w:t>40-jaar bewaring blootstellingsgegevens</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tcPr>
          <w:p>
            <w:r/>
            <w:r>
              <w:rPr>
                <w:rFonts w:ascii="Calibri" w:hAnsi="Calibri"/>
                <w:b w:val="0"/>
                <w:color w:val="1F2937"/>
                <w:sz w:val="17"/>
              </w:rPr>
              <w:t>H3</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B4</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RI&amp;E incl. tox-elementen + vervangingsonderbouwing</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H5</w:t>
            </w:r>
          </w:p>
        </w:tc>
      </w:tr>
      <w:tr>
        <w:tc>
          <w:tcPr>
            <w:tcW w:type="dxa" w:w="1134"/>
            <w:tcMar>
              <w:top w:w="60" w:type="dxa"/>
              <w:start w:w="100" w:type="dxa"/>
              <w:bottom w:w="60" w:type="dxa"/>
              <w:end w:w="100" w:type="dxa"/>
            </w:tcMar>
          </w:tcPr>
          <w:p>
            <w:r/>
            <w:r>
              <w:rPr>
                <w:rFonts w:ascii="Calibri" w:hAnsi="Calibri"/>
                <w:b w:val="0"/>
                <w:color w:val="1F2937"/>
                <w:sz w:val="17"/>
              </w:rPr>
              <w:t>B5</w:t>
            </w:r>
          </w:p>
        </w:tc>
        <w:tc>
          <w:tcPr>
            <w:tcW w:type="dxa" w:w="5783"/>
            <w:tcMar>
              <w:top w:w="60" w:type="dxa"/>
              <w:start w:w="100" w:type="dxa"/>
              <w:bottom w:w="60" w:type="dxa"/>
              <w:end w:w="100" w:type="dxa"/>
            </w:tcMar>
          </w:tcPr>
          <w:p>
            <w:r/>
            <w:r>
              <w:rPr>
                <w:rFonts w:ascii="Calibri" w:hAnsi="Calibri"/>
                <w:b w:val="0"/>
                <w:color w:val="1F2937"/>
                <w:sz w:val="17"/>
              </w:rPr>
              <w:t>Lijst blootgestelde werknemers + inzagerecht</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tcPr>
          <w:p>
            <w:r/>
            <w:r>
              <w:rPr>
                <w:rFonts w:ascii="Calibri" w:hAnsi="Calibri"/>
                <w:b w:val="0"/>
                <w:color w:val="1F2937"/>
                <w:sz w:val="17"/>
              </w:rPr>
              <w:t>H4</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B6</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Abnormale blootstelling: melding + OR/PVT</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H6</w:t>
            </w:r>
          </w:p>
        </w:tc>
      </w:tr>
      <w:tr>
        <w:tc>
          <w:tcPr>
            <w:tcW w:type="dxa" w:w="1134"/>
            <w:tcMar>
              <w:top w:w="60" w:type="dxa"/>
              <w:start w:w="100" w:type="dxa"/>
              <w:bottom w:w="60" w:type="dxa"/>
              <w:end w:w="100" w:type="dxa"/>
            </w:tcMar>
          </w:tcPr>
          <w:p>
            <w:r/>
            <w:r>
              <w:rPr>
                <w:rFonts w:ascii="Calibri" w:hAnsi="Calibri"/>
                <w:b w:val="0"/>
                <w:color w:val="1F2937"/>
                <w:sz w:val="17"/>
              </w:rPr>
              <w:t>B7</w:t>
            </w:r>
          </w:p>
        </w:tc>
        <w:tc>
          <w:tcPr>
            <w:tcW w:type="dxa" w:w="5783"/>
            <w:tcMar>
              <w:top w:w="60" w:type="dxa"/>
              <w:start w:w="100" w:type="dxa"/>
              <w:bottom w:w="60" w:type="dxa"/>
              <w:end w:w="100" w:type="dxa"/>
            </w:tcMar>
          </w:tcPr>
          <w:p>
            <w:r/>
            <w:r>
              <w:rPr>
                <w:rFonts w:ascii="Calibri" w:hAnsi="Calibri"/>
                <w:b w:val="0"/>
                <w:color w:val="1F2937"/>
                <w:sz w:val="17"/>
              </w:rPr>
              <w:t>Wettelijke grenswaarde 1 µg/m³</w:t>
            </w:r>
          </w:p>
        </w:tc>
        <w:tc>
          <w:tcPr>
            <w:tcW w:type="dxa" w:w="1474"/>
            <w:tcMar>
              <w:top w:w="60" w:type="dxa"/>
              <w:start w:w="100" w:type="dxa"/>
              <w:bottom w:w="60" w:type="dxa"/>
              <w:end w:w="100" w:type="dxa"/>
            </w:tcMar>
            <w:shd w:val="clear" w:color="auto" w:fill="F0FDF4"/>
          </w:tcPr>
          <w:p>
            <w:r/>
            <w:r>
              <w:rPr>
                <w:rFonts w:ascii="Calibri" w:hAnsi="Calibri"/>
                <w:b/>
                <w:color w:val="00A859"/>
                <w:sz w:val="17"/>
              </w:rPr>
              <w:t>Conform</w:t>
            </w:r>
          </w:p>
        </w:tc>
        <w:tc>
          <w:tcPr>
            <w:tcW w:type="dxa" w:w="1474"/>
            <w:tcMar>
              <w:top w:w="60" w:type="dxa"/>
              <w:start w:w="100" w:type="dxa"/>
              <w:bottom w:w="60" w:type="dxa"/>
              <w:end w:w="100" w:type="dxa"/>
            </w:tcMar>
          </w:tcPr>
          <w:p>
            <w:r/>
            <w:r>
              <w:rPr>
                <w:rFonts w:ascii="Calibri" w:hAnsi="Calibri"/>
                <w:b w:val="0"/>
                <w:color w:val="1F2937"/>
                <w:sz w:val="17"/>
              </w:rPr>
              <w:t>—</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B8</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REACH Bijlage XIV (autorisatie Cr(VI))</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H7</w:t>
            </w:r>
          </w:p>
        </w:tc>
      </w:tr>
      <w:tr>
        <w:tc>
          <w:tcPr>
            <w:tcW w:type="dxa" w:w="1134"/>
            <w:tcMar>
              <w:top w:w="60" w:type="dxa"/>
              <w:start w:w="100" w:type="dxa"/>
              <w:bottom w:w="60" w:type="dxa"/>
              <w:end w:w="100" w:type="dxa"/>
            </w:tcMar>
          </w:tcPr>
          <w:p>
            <w:r/>
            <w:r>
              <w:rPr>
                <w:rFonts w:ascii="Calibri" w:hAnsi="Calibri"/>
                <w:b w:val="0"/>
                <w:color w:val="1F2937"/>
                <w:sz w:val="17"/>
              </w:rPr>
              <w:t>B9</w:t>
            </w:r>
          </w:p>
        </w:tc>
        <w:tc>
          <w:tcPr>
            <w:tcW w:type="dxa" w:w="5783"/>
            <w:tcMar>
              <w:top w:w="60" w:type="dxa"/>
              <w:start w:w="100" w:type="dxa"/>
              <w:bottom w:w="60" w:type="dxa"/>
              <w:end w:w="100" w:type="dxa"/>
            </w:tcMar>
          </w:tcPr>
          <w:p>
            <w:r/>
            <w:r>
              <w:rPr>
                <w:rFonts w:ascii="Calibri" w:hAnsi="Calibri"/>
                <w:b w:val="0"/>
                <w:color w:val="1F2937"/>
                <w:sz w:val="17"/>
              </w:rPr>
              <w:t>Afvalstroom Cr(VI): klassering + afvoer</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tcPr>
          <w:p>
            <w:r/>
            <w:r>
              <w:rPr>
                <w:rFonts w:ascii="Calibri" w:hAnsi="Calibri"/>
                <w:b w:val="0"/>
                <w:color w:val="1F2937"/>
                <w:sz w:val="17"/>
              </w:rPr>
              <w:t>H8</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B10</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AI-bladen 67, 31, 18, 77 als praktijkkader</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H9</w:t>
            </w:r>
          </w:p>
        </w:tc>
      </w:tr>
      <w:tr>
        <w:tc>
          <w:tcPr>
            <w:tcW w:type="dxa" w:w="1134"/>
            <w:tcMar>
              <w:top w:w="60" w:type="dxa"/>
              <w:start w:w="100" w:type="dxa"/>
              <w:bottom w:w="60" w:type="dxa"/>
              <w:end w:w="100" w:type="dxa"/>
            </w:tcMar>
          </w:tcPr>
          <w:p>
            <w:r/>
            <w:r>
              <w:rPr>
                <w:rFonts w:ascii="Calibri" w:hAnsi="Calibri"/>
                <w:b w:val="0"/>
                <w:color w:val="1F2937"/>
                <w:sz w:val="17"/>
              </w:rPr>
              <w:t>B11</w:t>
            </w:r>
          </w:p>
        </w:tc>
        <w:tc>
          <w:tcPr>
            <w:tcW w:type="dxa" w:w="5783"/>
            <w:tcMar>
              <w:top w:w="60" w:type="dxa"/>
              <w:start w:w="100" w:type="dxa"/>
              <w:bottom w:w="60" w:type="dxa"/>
              <w:end w:w="100" w:type="dxa"/>
            </w:tcMar>
          </w:tcPr>
          <w:p>
            <w:r/>
            <w:r>
              <w:rPr>
                <w:rFonts w:ascii="Calibri" w:hAnsi="Calibri"/>
                <w:b w:val="0"/>
                <w:color w:val="1F2937"/>
                <w:sz w:val="17"/>
              </w:rPr>
              <w:t>Beheersregime Chroom-6</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tcPr>
          <w:p>
            <w:r/>
            <w:r>
              <w:rPr>
                <w:rFonts w:ascii="Calibri" w:hAnsi="Calibri"/>
                <w:b w:val="0"/>
                <w:color w:val="1F2937"/>
                <w:sz w:val="17"/>
              </w:rPr>
              <w:t>H10</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B12</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5M-methode / hiërarchie incl. substitutie</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H11</w:t>
            </w:r>
          </w:p>
        </w:tc>
      </w:tr>
      <w:tr>
        <w:tc>
          <w:tcPr>
            <w:tcW w:type="dxa" w:w="1134"/>
            <w:tcMar>
              <w:top w:w="60" w:type="dxa"/>
              <w:start w:w="100" w:type="dxa"/>
              <w:bottom w:w="60" w:type="dxa"/>
              <w:end w:w="100" w:type="dxa"/>
            </w:tcMar>
          </w:tcPr>
          <w:p>
            <w:r/>
            <w:r>
              <w:rPr>
                <w:rFonts w:ascii="Calibri" w:hAnsi="Calibri"/>
                <w:b w:val="0"/>
                <w:color w:val="1F2937"/>
                <w:sz w:val="17"/>
              </w:rPr>
              <w:t>B13</w:t>
            </w:r>
          </w:p>
        </w:tc>
        <w:tc>
          <w:tcPr>
            <w:tcW w:type="dxa" w:w="5783"/>
            <w:tcMar>
              <w:top w:w="60" w:type="dxa"/>
              <w:start w:w="100" w:type="dxa"/>
              <w:bottom w:w="60" w:type="dxa"/>
              <w:end w:w="100" w:type="dxa"/>
            </w:tcMar>
          </w:tcPr>
          <w:p>
            <w:r/>
            <w:r>
              <w:rPr>
                <w:rFonts w:ascii="Calibri" w:hAnsi="Calibri"/>
                <w:b w:val="0"/>
                <w:color w:val="1F2937"/>
                <w:sz w:val="17"/>
              </w:rPr>
              <w:t>NEN-EN 689/482-normverwijzing</w:t>
            </w:r>
          </w:p>
        </w:tc>
        <w:tc>
          <w:tcPr>
            <w:tcW w:type="dxa" w:w="1474"/>
            <w:tcMar>
              <w:top w:w="60" w:type="dxa"/>
              <w:start w:w="100" w:type="dxa"/>
              <w:bottom w:w="60" w:type="dxa"/>
              <w:end w:w="100" w:type="dxa"/>
            </w:tcMar>
            <w:shd w:val="clear" w:color="auto" w:fill="FEF2F2"/>
          </w:tcPr>
          <w:p>
            <w:r/>
            <w:r>
              <w:rPr>
                <w:rFonts w:ascii="Calibri" w:hAnsi="Calibri"/>
                <w:b/>
                <w:color w:val="EF4444"/>
                <w:sz w:val="17"/>
              </w:rPr>
              <w:t>P1*</w:t>
            </w:r>
          </w:p>
        </w:tc>
        <w:tc>
          <w:tcPr>
            <w:tcW w:type="dxa" w:w="1474"/>
            <w:tcMar>
              <w:top w:w="60" w:type="dxa"/>
              <w:start w:w="100" w:type="dxa"/>
              <w:bottom w:w="60" w:type="dxa"/>
              <w:end w:w="100" w:type="dxa"/>
            </w:tcMar>
          </w:tcPr>
          <w:p>
            <w:r/>
            <w:r>
              <w:rPr>
                <w:rFonts w:ascii="Calibri" w:hAnsi="Calibri"/>
                <w:b w:val="0"/>
                <w:color w:val="1F2937"/>
                <w:sz w:val="17"/>
              </w:rPr>
              <w:t>H1</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B14</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Documentbeheer / versieconsistentie</w:t>
            </w:r>
          </w:p>
        </w:tc>
        <w:tc>
          <w:tcPr>
            <w:tcW w:type="dxa" w:w="1474"/>
            <w:tcMar>
              <w:top w:w="60" w:type="dxa"/>
              <w:start w:w="100" w:type="dxa"/>
              <w:bottom w:w="60" w:type="dxa"/>
              <w:end w:w="100" w:type="dxa"/>
            </w:tcMar>
            <w:shd w:val="clear" w:color="auto" w:fill="FFFBEB"/>
          </w:tcPr>
          <w:p>
            <w:r/>
            <w:r>
              <w:rPr>
                <w:rFonts w:ascii="Calibri" w:hAnsi="Calibri"/>
                <w:b/>
                <w:color w:val="B45309"/>
                <w:sz w:val="17"/>
              </w:rPr>
              <w:t>P2</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H12</w:t>
            </w:r>
          </w:p>
        </w:tc>
      </w:tr>
      <w:tr>
        <w:tc>
          <w:tcPr>
            <w:tcW w:type="dxa" w:w="1134"/>
            <w:tcMar>
              <w:top w:w="60" w:type="dxa"/>
              <w:start w:w="100" w:type="dxa"/>
              <w:bottom w:w="60" w:type="dxa"/>
              <w:end w:w="100" w:type="dxa"/>
            </w:tcMar>
          </w:tcPr>
          <w:p>
            <w:r/>
            <w:r>
              <w:rPr>
                <w:rFonts w:ascii="Calibri" w:hAnsi="Calibri"/>
                <w:b w:val="0"/>
                <w:color w:val="1F2937"/>
                <w:sz w:val="17"/>
              </w:rPr>
              <w:t>B15</w:t>
            </w:r>
          </w:p>
        </w:tc>
        <w:tc>
          <w:tcPr>
            <w:tcW w:type="dxa" w:w="5783"/>
            <w:tcMar>
              <w:top w:w="60" w:type="dxa"/>
              <w:start w:w="100" w:type="dxa"/>
              <w:bottom w:w="60" w:type="dxa"/>
              <w:end w:w="100" w:type="dxa"/>
            </w:tcMar>
          </w:tcPr>
          <w:p>
            <w:r/>
            <w:r>
              <w:rPr>
                <w:rFonts w:ascii="Calibri" w:hAnsi="Calibri"/>
                <w:b w:val="0"/>
                <w:color w:val="1F2937"/>
                <w:sz w:val="17"/>
              </w:rPr>
              <w:t>Gevareninformatie &amp; gezondheidseffecten</w:t>
            </w:r>
          </w:p>
        </w:tc>
        <w:tc>
          <w:tcPr>
            <w:tcW w:type="dxa" w:w="1474"/>
            <w:tcMar>
              <w:top w:w="60" w:type="dxa"/>
              <w:start w:w="100" w:type="dxa"/>
              <w:bottom w:w="60" w:type="dxa"/>
              <w:end w:w="100" w:type="dxa"/>
            </w:tcMar>
            <w:shd w:val="clear" w:color="auto" w:fill="F0FDF4"/>
          </w:tcPr>
          <w:p>
            <w:r/>
            <w:r>
              <w:rPr>
                <w:rFonts w:ascii="Calibri" w:hAnsi="Calibri"/>
                <w:b/>
                <w:color w:val="00A859"/>
                <w:sz w:val="17"/>
              </w:rPr>
              <w:t>Conform</w:t>
            </w:r>
          </w:p>
        </w:tc>
        <w:tc>
          <w:tcPr>
            <w:tcW w:type="dxa" w:w="1474"/>
            <w:tcMar>
              <w:top w:w="60" w:type="dxa"/>
              <w:start w:w="100" w:type="dxa"/>
              <w:bottom w:w="60" w:type="dxa"/>
              <w:end w:w="100" w:type="dxa"/>
            </w:tcMar>
          </w:tcPr>
          <w:p>
            <w:r/>
            <w:r>
              <w:rPr>
                <w:rFonts w:ascii="Calibri" w:hAnsi="Calibri"/>
                <w:b w:val="0"/>
                <w:color w:val="1F2937"/>
                <w:sz w:val="17"/>
              </w:rPr>
              <w:t>—</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B16</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Identificatie, marking, surveys, PTW/TRA-koppeling</w:t>
            </w:r>
          </w:p>
        </w:tc>
        <w:tc>
          <w:tcPr>
            <w:tcW w:type="dxa" w:w="1474"/>
            <w:tcMar>
              <w:top w:w="60" w:type="dxa"/>
              <w:start w:w="100" w:type="dxa"/>
              <w:bottom w:w="60" w:type="dxa"/>
              <w:end w:w="100" w:type="dxa"/>
            </w:tcMar>
            <w:shd w:val="clear" w:color="auto" w:fill="F0FDF4"/>
          </w:tcPr>
          <w:p>
            <w:r/>
            <w:r>
              <w:rPr>
                <w:rFonts w:ascii="Calibri" w:hAnsi="Calibri"/>
                <w:b/>
                <w:color w:val="00A859"/>
                <w:sz w:val="17"/>
              </w:rPr>
              <w:t>Conform</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w:t>
            </w:r>
          </w:p>
        </w:tc>
      </w:tr>
      <w:tr>
        <w:tc>
          <w:tcPr>
            <w:tcW w:type="dxa" w:w="1134"/>
            <w:tcMar>
              <w:top w:w="60" w:type="dxa"/>
              <w:start w:w="100" w:type="dxa"/>
              <w:bottom w:w="60" w:type="dxa"/>
              <w:end w:w="100" w:type="dxa"/>
            </w:tcMar>
          </w:tcPr>
          <w:p>
            <w:r/>
            <w:r>
              <w:rPr>
                <w:rFonts w:ascii="Calibri" w:hAnsi="Calibri"/>
                <w:b w:val="0"/>
                <w:color w:val="1F2937"/>
                <w:sz w:val="17"/>
              </w:rPr>
              <w:t>B17</w:t>
            </w:r>
          </w:p>
        </w:tc>
        <w:tc>
          <w:tcPr>
            <w:tcW w:type="dxa" w:w="5783"/>
            <w:tcMar>
              <w:top w:w="60" w:type="dxa"/>
              <w:start w:w="100" w:type="dxa"/>
              <w:bottom w:w="60" w:type="dxa"/>
              <w:end w:w="100" w:type="dxa"/>
            </w:tcMar>
          </w:tcPr>
          <w:p>
            <w:r/>
            <w:r>
              <w:rPr>
                <w:rFonts w:ascii="Calibri" w:hAnsi="Calibri"/>
                <w:b w:val="0"/>
                <w:color w:val="1F2937"/>
                <w:sz w:val="17"/>
              </w:rPr>
              <w:t>Hygiëne, decontaminatie, PBM-regime (P3, volgelaatsmasker)</w:t>
            </w:r>
          </w:p>
        </w:tc>
        <w:tc>
          <w:tcPr>
            <w:tcW w:type="dxa" w:w="1474"/>
            <w:tcMar>
              <w:top w:w="60" w:type="dxa"/>
              <w:start w:w="100" w:type="dxa"/>
              <w:bottom w:w="60" w:type="dxa"/>
              <w:end w:w="100" w:type="dxa"/>
            </w:tcMar>
            <w:shd w:val="clear" w:color="auto" w:fill="F0FDF4"/>
          </w:tcPr>
          <w:p>
            <w:r/>
            <w:r>
              <w:rPr>
                <w:rFonts w:ascii="Calibri" w:hAnsi="Calibri"/>
                <w:b/>
                <w:color w:val="00A859"/>
                <w:sz w:val="17"/>
              </w:rPr>
              <w:t>Conform</w:t>
            </w:r>
          </w:p>
        </w:tc>
        <w:tc>
          <w:tcPr>
            <w:tcW w:type="dxa" w:w="1474"/>
            <w:tcMar>
              <w:top w:w="60" w:type="dxa"/>
              <w:start w:w="100" w:type="dxa"/>
              <w:bottom w:w="60" w:type="dxa"/>
              <w:end w:w="100" w:type="dxa"/>
            </w:tcMar>
          </w:tcPr>
          <w:p>
            <w:r/>
            <w:r>
              <w:rPr>
                <w:rFonts w:ascii="Calibri" w:hAnsi="Calibri"/>
                <w:b w:val="0"/>
                <w:color w:val="1F2937"/>
                <w:sz w:val="17"/>
              </w:rPr>
              <w:t>—</w:t>
            </w:r>
          </w:p>
        </w:tc>
      </w:tr>
      <w:tr>
        <w:tc>
          <w:tcPr>
            <w:tcW w:type="dxa" w:w="1134"/>
            <w:tcMar>
              <w:top w:w="60" w:type="dxa"/>
              <w:start w:w="100" w:type="dxa"/>
              <w:bottom w:w="60" w:type="dxa"/>
              <w:end w:w="100" w:type="dxa"/>
            </w:tcMar>
            <w:shd w:val="clear" w:color="auto" w:fill="F8F9FA"/>
          </w:tcPr>
          <w:p>
            <w:r/>
            <w:r>
              <w:rPr>
                <w:rFonts w:ascii="Calibri" w:hAnsi="Calibri"/>
                <w:b w:val="0"/>
                <w:color w:val="1F2937"/>
                <w:sz w:val="17"/>
              </w:rPr>
              <w:t>B18</w:t>
            </w:r>
          </w:p>
        </w:tc>
        <w:tc>
          <w:tcPr>
            <w:tcW w:type="dxa" w:w="5783"/>
            <w:tcMar>
              <w:top w:w="60" w:type="dxa"/>
              <w:start w:w="100" w:type="dxa"/>
              <w:bottom w:w="60" w:type="dxa"/>
              <w:end w:w="100" w:type="dxa"/>
            </w:tcMar>
            <w:shd w:val="clear" w:color="auto" w:fill="F8F9FA"/>
          </w:tcPr>
          <w:p>
            <w:r/>
            <w:r>
              <w:rPr>
                <w:rFonts w:ascii="Calibri" w:hAnsi="Calibri"/>
                <w:b w:val="0"/>
                <w:color w:val="1F2937"/>
                <w:sz w:val="17"/>
              </w:rPr>
              <w:t>Rollen &amp; verantwoordelijkheden</w:t>
            </w:r>
          </w:p>
        </w:tc>
        <w:tc>
          <w:tcPr>
            <w:tcW w:type="dxa" w:w="1474"/>
            <w:tcMar>
              <w:top w:w="60" w:type="dxa"/>
              <w:start w:w="100" w:type="dxa"/>
              <w:bottom w:w="60" w:type="dxa"/>
              <w:end w:w="100" w:type="dxa"/>
            </w:tcMar>
            <w:shd w:val="clear" w:color="auto" w:fill="F0FDF4"/>
          </w:tcPr>
          <w:p>
            <w:r/>
            <w:r>
              <w:rPr>
                <w:rFonts w:ascii="Calibri" w:hAnsi="Calibri"/>
                <w:b/>
                <w:color w:val="00A859"/>
                <w:sz w:val="17"/>
              </w:rPr>
              <w:t>Conform</w:t>
            </w:r>
          </w:p>
        </w:tc>
        <w:tc>
          <w:tcPr>
            <w:tcW w:type="dxa" w:w="1474"/>
            <w:tcMar>
              <w:top w:w="60" w:type="dxa"/>
              <w:start w:w="100" w:type="dxa"/>
              <w:bottom w:w="60" w:type="dxa"/>
              <w:end w:w="100" w:type="dxa"/>
            </w:tcMar>
            <w:shd w:val="clear" w:color="auto" w:fill="F8F9FA"/>
          </w:tcPr>
          <w:p>
            <w:r/>
            <w:r>
              <w:rPr>
                <w:rFonts w:ascii="Calibri" w:hAnsi="Calibri"/>
                <w:b w:val="0"/>
                <w:color w:val="1F2937"/>
                <w:sz w:val="17"/>
              </w:rPr>
              <w:t>—</w:t>
            </w:r>
          </w:p>
        </w:tc>
      </w:tr>
    </w:tbl>
    <w:p/>
    <w:p>
      <w:pPr>
        <w:spacing w:before="240" w:after="120"/>
      </w:pPr>
      <w:r>
        <w:rPr>
          <w:rFonts w:ascii="Calibri" w:hAnsi="Calibri"/>
          <w:b/>
          <w:color w:val="003366"/>
          <w:sz w:val="26"/>
        </w:rPr>
        <w:t>3.3 Verwerkingsvolgorde (aanbevolen)</w:t>
      </w:r>
    </w:p>
    <w:p>
      <w:pPr>
        <w:pStyle w:val="ListBullet"/>
      </w:pPr>
      <w:r>
        <w:rPr>
          <w:rFonts w:ascii="Calibri" w:hAnsi="Calibri"/>
          <w:color w:val="1F2937"/>
        </w:rPr>
        <w:t>Stap 1 (P1): H1 meetstrategie → H2 AGO → H4 exposure register → H3 bewaarregeling → H5 RI&amp;E-koppeling — als één wettelijk pakket verwerken.</w:t>
      </w:r>
    </w:p>
    <w:p>
      <w:pPr>
        <w:pStyle w:val="ListBullet"/>
      </w:pPr>
      <w:r>
        <w:rPr>
          <w:rFonts w:ascii="Calibri" w:hAnsi="Calibri"/>
          <w:color w:val="1F2937"/>
        </w:rPr>
        <w:t>Stap 2 (P2, inhoudelijk): H6 calamiteitenprotocol → H11 maatregelenhiërarchie → H8 afvalstroom → H7 REACH → H9 AI-bladen → H10 beheersregime.</w:t>
      </w:r>
    </w:p>
    <w:p>
      <w:pPr>
        <w:pStyle w:val="ListBullet"/>
      </w:pPr>
      <w:r>
        <w:rPr>
          <w:rFonts w:ascii="Calibri" w:hAnsi="Calibri"/>
          <w:color w:val="1F2937"/>
        </w:rPr>
        <w:t>Stap 3 (P2, documentair): H12 versieconsistentie — als afsluiting, inclusief gevulde revision log voor alle verwerkte voorstellen.</w:t>
      </w:r>
    </w:p>
    <w:sectPr w:rsidR="00FC693F" w:rsidRPr="0006063C" w:rsidSect="00034616">
      <w:headerReference w:type="default" r:id="rId10"/>
      <w:footerReference w:type="default" r:id="rId11"/>
      <w:pgSz w:w="12240" w:h="15840"/>
      <w:pgMar w:top="1361" w:right="1134" w:bottom="1247" w:left="1134"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Style w:val="TableGrid"/>
      <w:tblW w:type="auto" w:w="0"/>
      <w:tblLook w:firstColumn="1" w:firstRow="1" w:lastColumn="0" w:lastRow="0" w:noHBand="0" w:noVBand="1" w:val="04A0"/>
    </w:tblPr>
    <w:tblGrid>
      <w:gridCol w:w="9638"/>
    </w:tblGrid>
    <w:tr>
      <w:tc>
        <w:tcPr>
          <w:tcW w:type="dxa" w:w="9638"/>
          <w:shd w:val="clear" w:color="auto" w:fill="374151"/>
          <w:tcMar>
            <w:top w:w="60" w:type="dxa"/>
            <w:start w:w="140" w:type="dxa"/>
            <w:bottom w:w="60" w:type="dxa"/>
            <w:end w:w="140" w:type="dxa"/>
          </w:tcMar>
        </w:tcPr>
        <w:p>
          <w:pPr>
            <w:jc w:val="center"/>
          </w:pPr>
          <w:r/>
          <w:r>
            <w:rPr>
              <w:rFonts w:ascii="Calibri" w:hAnsi="Calibri"/>
              <w:color w:val="FFFFFF"/>
              <w:sz w:val="17"/>
            </w:rPr>
            <w:t xml:space="preserve">003.056 Cr(VI) Checklists  |  v1.0  |  24-08-2026  |  Pagina </w:t>
          </w:r>
          <w:r>
            <w:rPr>
              <w:rFonts w:ascii="Calibri" w:hAnsi="Calibri"/>
              <w:color w:val="FFFFFF"/>
              <w:sz w:val="17"/>
            </w:rPr>
            <w:fldChar w:fldCharType="begin"/>
            <w:instrText xml:space="preserve"> PAGE </w:instrText>
            <w:fldChar w:fldCharType="end"/>
          </w:r>
          <w:r>
            <w:rPr>
              <w:rFonts w:ascii="Calibri" w:hAnsi="Calibri"/>
              <w:color w:val="FFFFFF"/>
              <w:sz w:val="17"/>
            </w:rPr>
            <w:t xml:space="preserve">  |  JvG Consultancy</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Style w:val="TableGrid"/>
      <w:tblW w:type="auto" w:w="0"/>
      <w:tblLayout w:type="fixed"/>
      <w:tblLook w:firstColumn="1" w:firstRow="1" w:lastColumn="0" w:lastRow="0" w:noHBand="0" w:noVBand="1" w:val="04A0"/>
    </w:tblPr>
    <w:tblGrid>
      <w:gridCol w:w="4819"/>
      <w:gridCol w:w="4819"/>
    </w:tblGrid>
    <w:tr>
      <w:tc>
        <w:tcPr>
          <w:tcW w:type="dxa" w:w="7824"/>
          <w:shd w:val="clear" w:color="auto" w:fill="003366"/>
          <w:tcMar>
            <w:top w:w="80" w:type="dxa"/>
            <w:start w:w="140" w:type="dxa"/>
            <w:bottom w:w="80" w:type="dxa"/>
            <w:end w:w="140" w:type="dxa"/>
          </w:tcMar>
        </w:tcPr>
        <w:p>
          <w:r/>
          <w:r>
            <w:rPr>
              <w:rFonts w:ascii="Calibri" w:hAnsi="Calibri"/>
              <w:b/>
              <w:color w:val="FFFFFF"/>
              <w:sz w:val="20"/>
            </w:rPr>
            <w:t>Cr(VI) Checklists — Herziening 003.056</w:t>
          </w:r>
          <w:r>
            <w:rPr>
              <w:rFonts w:ascii="Calibri" w:hAnsi="Calibri"/>
              <w:color w:val="D1D5DB"/>
              <w:sz w:val="16"/>
            </w:rPr>
            <w:br/>
            <w:t>JvG Consultancy — Safety • Governance • Advisory  |  HSEQ Divisie</w:t>
          </w:r>
        </w:p>
      </w:tc>
      <w:tc>
        <w:tcPr>
          <w:tcW w:type="dxa" w:w="1814"/>
          <w:shd w:val="clear" w:color="auto" w:fill="003366"/>
          <w:tcMar>
            <w:top w:w="80" w:type="dxa"/>
            <w:start w:w="140" w:type="dxa"/>
            <w:bottom w:w="80" w:type="dxa"/>
            <w:end w:w="140" w:type="dxa"/>
          </w:tcMar>
        </w:tcPr>
        <w:p>
          <w:pPr>
            <w:jc w:val="right"/>
          </w:pPr>
          <w:r/>
          <w:r>
            <w:drawing>
              <wp:inline xmlns:a="http://schemas.openxmlformats.org/drawingml/2006/main" xmlns:pic="http://schemas.openxmlformats.org/drawingml/2006/picture">
                <wp:extent cx="720000" cy="6444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44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003.056 Cr(VI) Checklists v1.0</dc:title>
  <dc:subject>Herzieningschecklist en juridische compliance checklist Chromium VI Exposure Control Procedure</dc:subject>
  <dc:creator>JvG Consultancy</dc:creator>
  <cp:keywords>chroom-6; checklist; Arbobesluit; herziening; H1-H12; prioritering</cp:keywords>
  <dc:description>Basis: Compliance Audit v1.0 (24-08-2026) — technical_writer (HQ_04)</dc:description>
  <cp:lastModifiedBy/>
  <cp:revision>1</cp:revision>
  <dcterms:created xsi:type="dcterms:W3CDTF">2013-12-23T23:15:00Z</dcterms:created>
  <dcterms:modified xsi:type="dcterms:W3CDTF">2013-12-23T23:15:00Z</dcterms:modified>
  <cp:category>HSEQ Compliance</cp:category>
</cp:coreProperties>
</file>